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霞浦县罗汉溪流域崇儒段中小河流域治理工程设计</w:t>
      </w:r>
    </w:p>
    <w:p>
      <w:pPr>
        <w:pStyle w:val="null3"/>
        <w:jc w:val="center"/>
        <w:outlineLvl w:val="2"/>
      </w:pPr>
      <w:r>
        <w:rPr>
          <w:b/>
          <w:sz w:val="28"/>
        </w:rPr>
        <w:t>备案编号：</w:t>
      </w:r>
      <w:r>
        <w:rPr>
          <w:b/>
          <w:sz w:val="28"/>
        </w:rPr>
        <w:t>CGXM-2023-350921-00970[2023]01030</w:t>
      </w:r>
    </w:p>
    <w:p>
      <w:pPr>
        <w:pStyle w:val="null3"/>
        <w:jc w:val="center"/>
        <w:outlineLvl w:val="2"/>
      </w:pPr>
      <w:r>
        <w:rPr>
          <w:b/>
          <w:sz w:val="28"/>
        </w:rPr>
        <w:t>项目编号：</w:t>
      </w:r>
      <w:r>
        <w:rPr>
          <w:b/>
          <w:sz w:val="28"/>
        </w:rPr>
        <w:t>[350921]CHG[CS]2023001</w:t>
      </w:r>
    </w:p>
    <w:p>
      <w:pPr>
        <w:pStyle w:val="null3"/>
        <w:jc w:val="center"/>
        <w:outlineLvl w:val="2"/>
      </w:pPr>
      <w:r>
        <w:rPr>
          <w:b/>
          <w:sz w:val="28"/>
        </w:rPr>
        <w:t>采购人：</w:t>
      </w:r>
      <w:r>
        <w:rPr>
          <w:b/>
          <w:sz w:val="28"/>
        </w:rPr>
        <w:t>霞浦县崇儒畲族乡人民政府</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霞浦县崇儒畲族乡人民政府</w:t>
      </w:r>
      <w:r>
        <w:rPr/>
        <w:t>已根据政府采购相关法律法规，经相应程序确定采用 竞争性磋商 方式组织</w:t>
      </w:r>
      <w:r>
        <w:rPr/>
        <w:t>霞浦县罗汉溪流域崇儒段中小河流域治理工程设计</w:t>
      </w:r>
      <w:r>
        <w:rPr/>
        <w:t>项目（以下简称：“本项目”）的政府采购活动，</w:t>
      </w:r>
      <w:r>
        <w:rPr/>
        <w:t>现欢迎国内合格的供应商前来参加。</w:t>
      </w:r>
      <w:r>
        <w:rPr/>
        <w:t>本项目由采购人委托</w:t>
      </w:r>
      <w:r>
        <w:rPr/>
        <w:t>中宸泓（福建）工程项目管理有限公司</w:t>
      </w:r>
      <w:r>
        <w:rPr/>
        <w:t>开展竞争性磋商活动。</w:t>
      </w:r>
    </w:p>
    <w:p>
      <w:pPr>
        <w:pStyle w:val="null3"/>
        <w:ind w:firstLine="480"/>
        <w:jc w:val="left"/>
        <w:outlineLvl w:val="2"/>
      </w:pPr>
      <w:r>
        <w:rPr>
          <w:b/>
          <w:sz w:val="28"/>
        </w:rPr>
        <w:t>1.项目名称</w:t>
      </w:r>
      <w:r>
        <w:rPr>
          <w:b/>
          <w:sz w:val="28"/>
        </w:rPr>
        <w:t>：</w:t>
      </w:r>
      <w:r>
        <w:rPr>
          <w:b/>
          <w:sz w:val="28"/>
        </w:rPr>
        <w:t>霞浦县罗汉溪流域崇儒段中小河流域治理工程设计</w:t>
      </w:r>
    </w:p>
    <w:p>
      <w:pPr>
        <w:pStyle w:val="null3"/>
        <w:ind w:firstLine="480"/>
        <w:jc w:val="left"/>
        <w:outlineLvl w:val="2"/>
      </w:pPr>
      <w:r>
        <w:rPr>
          <w:b/>
          <w:sz w:val="28"/>
        </w:rPr>
        <w:t>2.备案编号</w:t>
      </w:r>
      <w:r>
        <w:rPr>
          <w:b/>
          <w:sz w:val="28"/>
        </w:rPr>
        <w:t>：</w:t>
      </w:r>
      <w:r>
        <w:rPr>
          <w:b/>
          <w:sz w:val="28"/>
        </w:rPr>
        <w:t>CGXM-2023-350921-00970[2023]01030</w:t>
      </w:r>
    </w:p>
    <w:p>
      <w:pPr>
        <w:pStyle w:val="null3"/>
        <w:ind w:firstLine="480"/>
        <w:jc w:val="left"/>
        <w:outlineLvl w:val="2"/>
      </w:pPr>
      <w:r>
        <w:rPr>
          <w:b/>
          <w:sz w:val="28"/>
        </w:rPr>
        <w:t>3.项目编号</w:t>
      </w:r>
      <w:r>
        <w:rPr>
          <w:b/>
          <w:sz w:val="28"/>
        </w:rPr>
        <w:t>：</w:t>
      </w:r>
      <w:r>
        <w:rPr>
          <w:b/>
          <w:sz w:val="28"/>
        </w:rPr>
        <w:t>[350921]CHG[CS]2023001</w:t>
      </w:r>
    </w:p>
    <w:p>
      <w:pPr>
        <w:pStyle w:val="null3"/>
        <w:ind w:firstLine="480"/>
        <w:jc w:val="left"/>
        <w:outlineLvl w:val="2"/>
      </w:pPr>
      <w:r>
        <w:rPr>
          <w:b/>
          <w:sz w:val="28"/>
        </w:rPr>
        <w:t>4.采购内容及要求：</w:t>
      </w:r>
    </w:p>
    <w:p>
      <w:pPr>
        <w:pStyle w:val="null3"/>
        <w:ind w:firstLine="960"/>
        <w:jc w:val="left"/>
      </w:pPr>
    </w:p>
    <w:p>
      <w:pPr>
        <w:pStyle w:val="null3"/>
        <w:jc w:val="left"/>
      </w:pPr>
    </w:p>
    <w:p>
      <w:pPr>
        <w:pStyle w:val="null3"/>
        <w:jc w:val="left"/>
      </w:pPr>
    </w:p>
    <w:p>
      <w:pPr>
        <w:pStyle w:val="null3"/>
        <w:jc w:val="left"/>
      </w:pPr>
      <w:r>
        <w:rPr/>
        <w:t>采购包1：</w:t>
      </w:r>
    </w:p>
    <w:p>
      <w:pPr>
        <w:pStyle w:val="null3"/>
        <w:jc w:val="left"/>
      </w:pPr>
      <w:r>
        <w:rPr/>
        <w:t>采购包预算金额（元）: 745,500.00</w:t>
      </w:r>
    </w:p>
    <w:p>
      <w:pPr>
        <w:pStyle w:val="null3"/>
        <w:jc w:val="left"/>
      </w:pPr>
      <w:r>
        <w:rPr/>
        <w:t>采购包最高限价（元）: 745,500.00</w:t>
      </w:r>
    </w:p>
    <w:p>
      <w:pPr>
        <w:pStyle w:val="null3"/>
        <w:jc w:val="left"/>
      </w:pPr>
      <w:r>
        <w:rPr/>
        <w:t>采购包保证金金额（元）: 7,455.00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霞浦县罗汉溪流域崇儒段中小河流域治理工程设计</w:t>
            </w:r>
          </w:p>
        </w:tc>
        <w:tc>
          <w:tcPr>
            <w:tcW w:type="dxa" w:w="1187"/>
          </w:tcPr>
          <w:p>
            <w:pPr>
              <w:pStyle w:val="null3"/>
              <w:jc w:val="right"/>
            </w:pPr>
            <w:r>
              <w:rPr/>
              <w:t>745,500.00</w:t>
            </w:r>
          </w:p>
        </w:tc>
        <w:tc>
          <w:tcPr>
            <w:tcW w:type="dxa" w:w="1187"/>
          </w:tcPr>
          <w:p>
            <w:pPr>
              <w:pStyle w:val="null3"/>
              <w:jc w:val="right"/>
            </w:pPr>
            <w:r>
              <w:rPr/>
              <w:t>745,500.00</w:t>
            </w:r>
          </w:p>
        </w:tc>
        <w:tc>
          <w:tcPr>
            <w:tcW w:type="dxa" w:w="1187"/>
          </w:tcPr>
          <w:p>
            <w:pPr>
              <w:pStyle w:val="null3"/>
              <w:jc w:val="left"/>
            </w:pPr>
            <w:r>
              <w:rPr/>
              <w:t>元</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其他资格证明文件</w:t>
            </w:r>
          </w:p>
        </w:tc>
        <w:tc>
          <w:tcPr>
            <w:tcW w:type="dxa" w:w="4614"/>
          </w:tcPr>
          <w:p>
            <w:pPr>
              <w:pStyle w:val="null3"/>
              <w:jc w:val="left"/>
            </w:pPr>
            <w:r>
              <w:rPr/>
              <w:t>供应商须具备合格有效的行业主管部门颁发的水利行业丙级及以上设计资质。</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霞浦县崇儒畲族乡人民政府</w:t>
      </w:r>
    </w:p>
    <w:p>
      <w:pPr>
        <w:pStyle w:val="null3"/>
        <w:ind w:firstLine="960"/>
        <w:jc w:val="left"/>
      </w:pPr>
    </w:p>
    <w:p>
      <w:pPr>
        <w:pStyle w:val="null3"/>
        <w:jc w:val="left"/>
      </w:pPr>
    </w:p>
    <w:p>
      <w:pPr>
        <w:pStyle w:val="null3"/>
        <w:jc w:val="left"/>
      </w:pPr>
      <w:r>
        <w:rPr/>
        <w:t>地址：</w:t>
      </w:r>
      <w:r>
        <w:rPr/>
        <w:t>霞浦县崇儒畲族乡崇儒村1号</w:t>
      </w:r>
    </w:p>
    <w:p>
      <w:pPr>
        <w:pStyle w:val="null3"/>
        <w:jc w:val="left"/>
      </w:pPr>
      <w:r>
        <w:rPr/>
        <w:t>邮编：</w:t>
      </w:r>
      <w:r>
        <w:rPr/>
        <w:t>355104</w:t>
      </w:r>
    </w:p>
    <w:p>
      <w:pPr>
        <w:pStyle w:val="null3"/>
        <w:jc w:val="left"/>
      </w:pPr>
      <w:r>
        <w:rPr/>
        <w:t>联系人：</w:t>
      </w:r>
      <w:r>
        <w:rPr/>
        <w:t>钟弘宇</w:t>
      </w:r>
    </w:p>
    <w:p>
      <w:pPr>
        <w:pStyle w:val="null3"/>
        <w:jc w:val="left"/>
      </w:pPr>
      <w:r>
        <w:rPr/>
        <w:t>联系电话：</w:t>
      </w:r>
      <w:r>
        <w:rPr/>
        <w:t>18759365089</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p>
    <w:p>
      <w:pPr>
        <w:pStyle w:val="null3"/>
        <w:jc w:val="left"/>
      </w:pPr>
    </w:p>
    <w:p>
      <w:pPr>
        <w:pStyle w:val="null3"/>
        <w:jc w:val="left"/>
      </w:pPr>
      <w:r>
        <w:rPr/>
        <w:t>地址：</w:t>
      </w:r>
      <w:r>
        <w:rPr/>
        <w:t>东侨经济开发区福宁北路1号东城水岸15幢1梯1401室</w:t>
      </w:r>
    </w:p>
    <w:p>
      <w:pPr>
        <w:pStyle w:val="null3"/>
        <w:jc w:val="left"/>
      </w:pPr>
      <w:r>
        <w:rPr/>
        <w:t>邮编：</w:t>
      </w:r>
      <w:r>
        <w:rPr/>
        <w:t>352100</w:t>
      </w:r>
    </w:p>
    <w:p>
      <w:pPr>
        <w:pStyle w:val="null3"/>
        <w:jc w:val="left"/>
      </w:pPr>
      <w:r>
        <w:rPr/>
        <w:t>联系人：</w:t>
      </w:r>
      <w:r>
        <w:rPr/>
        <w:t>吕东升</w:t>
      </w:r>
    </w:p>
    <w:p>
      <w:pPr>
        <w:pStyle w:val="null3"/>
        <w:jc w:val="left"/>
      </w:pPr>
      <w:r>
        <w:rPr/>
        <w:t>联系电话：</w:t>
      </w:r>
      <w:r>
        <w:rPr/>
        <w:t>18344936515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中宸泓（福建）工程项目管理有限公司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其他资格证明文件</w:t>
                  </w:r>
                </w:p>
              </w:tc>
              <w:tc>
                <w:tcPr>
                  <w:tcW w:type="dxa" w:w="1418"/>
                </w:tcPr>
                <w:p>
                  <w:pPr>
                    <w:pStyle w:val="null3"/>
                    <w:jc w:val="center"/>
                  </w:pPr>
                  <w:r>
                    <w:rPr>
                      <w:b/>
                    </w:rPr>
                    <w:t>供应商须具备合格有效的行业主管部门颁发的水利行业丙级及以上设计资质。</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本采购包为专门面向中小企业采购，投标人须提供中小企业声明函。监狱企业、残疾人福利性单位视同小型、微型企业。</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无</w:t>
            </w:r>
          </w:p>
        </w:tc>
      </w:tr>
      <w:tr>
        <w:tc>
          <w:tcPr>
            <w:tcW w:type="dxa" w:w="2769"/>
          </w:tcPr>
          <w:p>
            <w:pPr>
              <w:pStyle w:val="null3"/>
              <w:jc w:val="center"/>
            </w:pPr>
            <w:r>
              <w:rPr>
                <w:b/>
              </w:rPr>
              <w:t>6</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7</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8</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9</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无</w:t>
            </w:r>
          </w:p>
        </w:tc>
      </w:tr>
      <w:tr>
        <w:tc>
          <w:tcPr>
            <w:tcW w:type="dxa" w:w="2769"/>
          </w:tcPr>
          <w:p>
            <w:pPr>
              <w:pStyle w:val="null3"/>
              <w:jc w:val="center"/>
            </w:pPr>
            <w:r>
              <w:rPr>
                <w:b/>
              </w:rPr>
              <w:t>10</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11</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霞浦县政府采购监督管理办公室</w:t>
            </w:r>
          </w:p>
        </w:tc>
      </w:tr>
      <w:tr>
        <w:tc>
          <w:tcPr>
            <w:tcW w:type="dxa" w:w="2769"/>
          </w:tcPr>
          <w:p>
            <w:pPr>
              <w:pStyle w:val="null3"/>
              <w:jc w:val="center"/>
            </w:pPr>
            <w:r>
              <w:rPr>
                <w:b/>
              </w:rPr>
              <w:t>12</w:t>
            </w:r>
          </w:p>
        </w:tc>
        <w:tc>
          <w:tcPr>
            <w:tcW w:type="dxa" w:w="2769"/>
          </w:tcPr>
          <w:p>
            <w:pPr>
              <w:pStyle w:val="null3"/>
              <w:jc w:val="center"/>
            </w:pPr>
            <w:r>
              <w:rPr>
                <w:b/>
              </w:rPr>
              <w:t>25.1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采购包1：不缴纳</w:t>
            </w:r>
          </w:p>
        </w:tc>
      </w:tr>
      <w:tr>
        <w:tc>
          <w:tcPr>
            <w:tcW w:type="dxa" w:w="2769"/>
          </w:tcPr>
          <w:p>
            <w:pPr>
              <w:pStyle w:val="null3"/>
              <w:jc w:val="center"/>
            </w:pPr>
            <w:r>
              <w:rPr>
                <w:b/>
              </w:rPr>
              <w:t>13</w:t>
            </w:r>
          </w:p>
        </w:tc>
        <w:tc>
          <w:tcPr>
            <w:tcW w:type="dxa" w:w="2769"/>
          </w:tcPr>
          <w:p>
            <w:pPr>
              <w:pStyle w:val="null3"/>
              <w:jc w:val="center"/>
            </w:pPr>
            <w:r>
              <w:rPr>
                <w:b/>
              </w:rPr>
              <w:t>26</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代理服务费用收取对象：采购人</w:t>
            </w:r>
          </w:p>
          <w:p>
            <w:pPr>
              <w:pStyle w:val="null3"/>
              <w:jc w:val="center"/>
            </w:pPr>
            <w:r>
              <w:rPr>
                <w:b/>
              </w:rPr>
              <w:t>代理服务费收费标准：①收费标准：以成交金额作为计算基数，按计算金额再下浮20%收取。收费费率标准如下：成交金额在100（万元）以下收费费率标准1.5%。②代理服务费的交纳方式：采购人应按规定一次性向采购代理机构缴清代理服务费。代理服务费以银行转账或现金等付款方式支付。</w:t>
            </w:r>
          </w:p>
          <w:p>
            <w:pPr>
              <w:pStyle w:val="null3"/>
              <w:jc w:val="center"/>
            </w:pPr>
            <w:r>
              <w:rPr>
                <w:b/>
              </w:rPr>
              <w:t>(2)其他：</w:t>
            </w:r>
          </w:p>
          <w:p>
            <w:pPr>
              <w:pStyle w:val="null3"/>
              <w:jc w:val="center"/>
            </w:pPr>
            <w:r>
              <w:rPr>
                <w:b/>
              </w:rPr>
              <w:t>1、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质疑函原件应以书面形式递交并携带企业营业执照复印件、法定代表人授权书原件和法人及委托人身份证复印件并加盖供应商公章（原件备查，若无法提供原件或与原件不符，视为虚假质疑）送达采购代理机构。2、供应商的澄清、说明或更正应当采用书面形式，由其单位负责人或其授权代表签字，前述澄清、说明或更正不得超出响应文件的范围或改变响应文件的实质性内容。若供应商未按前述规定向磋商小组提交书面澄清、说明或更正，则磋商小组将按照不利于供应商的内容进行认定。3、关于报价计算错误修正的原则 ①报价一览表内容与分项报价表内容不一致的，以报价一览表为准； ②大写金额和小写金额不一致的，以大写金额为准； ③单价金额小数点或百分比有明显错位的，以报价一览表的总价为准，并修改单价。 ④总价金额与按单价汇总金额不一致的，以单价金额计算结果为准； ※同时出现两种以上不一致的，按照前款规定的顺序修正。若磋商小组按照上述规定修正，则相应供应商应予接受且修正后的报价对其起约束作用。若供应商不接受修正或未按照磋商小组的要求提交修正后的报价确认意见，则视为该供应商未实质性响应竞争性磋商文件要求，其符合性检查不合格。</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14</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无</w:t>
            </w:r>
            <w:r>
              <w:rPr>
                <w:b/>
              </w:rPr>
              <w:t>的内容修正为下列内容：</w:t>
            </w:r>
          </w:p>
          <w:p>
            <w:pPr>
              <w:pStyle w:val="null3"/>
              <w:jc w:val="left"/>
            </w:pPr>
            <w:r>
              <w:rPr>
                <w:b/>
              </w:rPr>
              <w:t>无</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1.本项目执行《关于福建省财政厅关于电子化政府采购项目中视为串标情形认定与处理的指导意见》（闽财购〔2018〕30号）规定。 2.本项目为不见面开标。 2.1供应商无需到开标现场，请在开标时自行登录福建省政府采购网系统，线上参与开标流程，并按规定在相应时段对响应文件进行远程解密、远程签章。2.2供应商应确保自身设施、设备、网络环境状况良好，在操作过程中因供应商自身原因造成无法正常参与开标流程、远程解密或签章的，后果由供应商自行承担。 2.3在规定的时间内正确提交电子响应文件的供应商在开标时将由系统判定签到情况，供应商应在远程解密开启后于规定时间内使用CA数字证书进行解密操作，逾期未解密的视为放弃投标。 2.4开标结束后，供应商应当对开标结果进行签章，逾期未签章的视为认同开标结果。 2.5远程解密及远程签章的开放起始时间均在开标过程中临时开启，请供应商务必密切关注实时开标流程，并根据流程在系统内按时操作，否则产生的后果由供应商自行承担。2.6本项目为竞争性磋商，供应商在开标（开启）结束后须及时进入等候大厅关注项目进展情况，二次报价需要及时响应（相关操作手册可查看福建省政府采购网首页操作指南）。 如未及时响应导致投标无效的，由供应商自行承担相关后果。</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无</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满分为10.00分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技术部分评分PT 满分为72.00分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PT.1、技术服务要求响应情况</w:t>
            </w:r>
          </w:p>
        </w:tc>
        <w:tc>
          <w:tcPr>
            <w:tcW w:type="dxa" w:w="831"/>
          </w:tcPr>
          <w:p>
            <w:pPr>
              <w:pStyle w:val="null3"/>
              <w:jc w:val="right"/>
            </w:pPr>
            <w:r>
              <w:rPr>
                <w:b/>
              </w:rPr>
              <w:t>42.00</w:t>
            </w:r>
          </w:p>
        </w:tc>
        <w:tc>
          <w:tcPr>
            <w:tcW w:type="dxa" w:w="4153"/>
          </w:tcPr>
          <w:p>
            <w:pPr>
              <w:pStyle w:val="null3"/>
              <w:jc w:val="left"/>
            </w:pPr>
            <w:r>
              <w:rPr>
                <w:b/>
              </w:rPr>
              <w:t>根据磋商文件细微偏差情形的内容，供应商的响应文件不存在细微偏差的，得42分；有出现1项细微偏差的得41分，有出现2项细微偏差的得40分，出现3项及以上细微偏差的得39分。【注：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2)磋商小组应当书面要求存在细微偏差的供应商在评审结束前予以补正。补正的程序和方法按照法律法规对澄清的规定执行。无法补正的，可以在评标时对细微偏差作不利于该供应商的认定。不利的认定标准如下：未按照磋商小组要求在评标结束前补正全部细微偏差内容】</w:t>
            </w:r>
          </w:p>
        </w:tc>
      </w:tr>
      <w:tr>
        <w:tc>
          <w:tcPr>
            <w:tcW w:type="dxa" w:w="3322"/>
          </w:tcPr>
          <w:p>
            <w:pPr>
              <w:pStyle w:val="null3"/>
              <w:jc w:val="left"/>
            </w:pPr>
            <w:r>
              <w:rPr>
                <w:b/>
              </w:rPr>
              <w:t>PT.2、技术方案1</w:t>
            </w:r>
          </w:p>
        </w:tc>
        <w:tc>
          <w:tcPr>
            <w:tcW w:type="dxa" w:w="831"/>
          </w:tcPr>
          <w:p>
            <w:pPr>
              <w:pStyle w:val="null3"/>
              <w:jc w:val="right"/>
            </w:pPr>
            <w:r>
              <w:rPr>
                <w:b/>
              </w:rPr>
              <w:t>3.00</w:t>
            </w:r>
          </w:p>
        </w:tc>
        <w:tc>
          <w:tcPr>
            <w:tcW w:type="dxa" w:w="4153"/>
          </w:tcPr>
          <w:p>
            <w:pPr>
              <w:pStyle w:val="null3"/>
              <w:jc w:val="left"/>
            </w:pPr>
            <w:r>
              <w:rPr>
                <w:b/>
              </w:rPr>
              <w:t>磋商小组根据供应商所提出的河道治理的目标、任务情况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PT.3、技术方案2</w:t>
            </w:r>
          </w:p>
        </w:tc>
        <w:tc>
          <w:tcPr>
            <w:tcW w:type="dxa" w:w="831"/>
          </w:tcPr>
          <w:p>
            <w:pPr>
              <w:pStyle w:val="null3"/>
              <w:jc w:val="right"/>
            </w:pPr>
            <w:r>
              <w:rPr>
                <w:b/>
              </w:rPr>
              <w:t>3.00</w:t>
            </w:r>
          </w:p>
        </w:tc>
        <w:tc>
          <w:tcPr>
            <w:tcW w:type="dxa" w:w="4153"/>
          </w:tcPr>
          <w:p>
            <w:pPr>
              <w:pStyle w:val="null3"/>
              <w:jc w:val="left"/>
            </w:pPr>
            <w:r>
              <w:rPr>
                <w:b/>
              </w:rPr>
              <w:t>磋商小组根据供应商所提出的规划原则、规划依据情况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PT.4、技术方案3</w:t>
            </w:r>
          </w:p>
        </w:tc>
        <w:tc>
          <w:tcPr>
            <w:tcW w:type="dxa" w:w="831"/>
          </w:tcPr>
          <w:p>
            <w:pPr>
              <w:pStyle w:val="null3"/>
              <w:jc w:val="right"/>
            </w:pPr>
            <w:r>
              <w:rPr>
                <w:b/>
              </w:rPr>
              <w:t>3.00</w:t>
            </w:r>
          </w:p>
        </w:tc>
        <w:tc>
          <w:tcPr>
            <w:tcW w:type="dxa" w:w="4153"/>
          </w:tcPr>
          <w:p>
            <w:pPr>
              <w:pStyle w:val="null3"/>
              <w:jc w:val="left"/>
            </w:pPr>
            <w:r>
              <w:rPr>
                <w:b/>
              </w:rPr>
              <w:t>磋商小组根据供应商提交的设计方案是否满足工程设计需求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PT.5、技术方案4</w:t>
            </w:r>
          </w:p>
        </w:tc>
        <w:tc>
          <w:tcPr>
            <w:tcW w:type="dxa" w:w="831"/>
          </w:tcPr>
          <w:p>
            <w:pPr>
              <w:pStyle w:val="null3"/>
              <w:jc w:val="right"/>
            </w:pPr>
            <w:r>
              <w:rPr>
                <w:b/>
              </w:rPr>
              <w:t>3.00</w:t>
            </w:r>
          </w:p>
        </w:tc>
        <w:tc>
          <w:tcPr>
            <w:tcW w:type="dxa" w:w="4153"/>
          </w:tcPr>
          <w:p>
            <w:pPr>
              <w:pStyle w:val="null3"/>
              <w:jc w:val="left"/>
            </w:pPr>
            <w:r>
              <w:rPr>
                <w:b/>
              </w:rPr>
              <w:t>磋商小组根据供应商提出的流域特点分析的清晰程度进行评分：内容完整、合理、条理清晰、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PT6、技术方案5</w:t>
            </w:r>
          </w:p>
        </w:tc>
        <w:tc>
          <w:tcPr>
            <w:tcW w:type="dxa" w:w="831"/>
          </w:tcPr>
          <w:p>
            <w:pPr>
              <w:pStyle w:val="null3"/>
              <w:jc w:val="right"/>
            </w:pPr>
            <w:r>
              <w:rPr>
                <w:b/>
              </w:rPr>
              <w:t>3.00</w:t>
            </w:r>
          </w:p>
        </w:tc>
        <w:tc>
          <w:tcPr>
            <w:tcW w:type="dxa" w:w="4153"/>
          </w:tcPr>
          <w:p>
            <w:pPr>
              <w:pStyle w:val="null3"/>
              <w:jc w:val="left"/>
            </w:pPr>
            <w:r>
              <w:rPr>
                <w:b/>
              </w:rPr>
              <w:t>磋商小组根据供应商提出规划河段的已有相关规划、社会经济资料等相关资料对本项目的适用性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PT.7、技术方案6</w:t>
            </w:r>
          </w:p>
        </w:tc>
        <w:tc>
          <w:tcPr>
            <w:tcW w:type="dxa" w:w="831"/>
          </w:tcPr>
          <w:p>
            <w:pPr>
              <w:pStyle w:val="null3"/>
              <w:jc w:val="right"/>
            </w:pPr>
            <w:r>
              <w:rPr>
                <w:b/>
              </w:rPr>
              <w:t>3.00</w:t>
            </w:r>
          </w:p>
        </w:tc>
        <w:tc>
          <w:tcPr>
            <w:tcW w:type="dxa" w:w="4153"/>
          </w:tcPr>
          <w:p>
            <w:pPr>
              <w:pStyle w:val="null3"/>
              <w:jc w:val="left"/>
            </w:pPr>
            <w:r>
              <w:rPr>
                <w:b/>
              </w:rPr>
              <w:t>磋商小组根据供应商提出规划河段所在流域已有的水文气象资料情况对本项目的适用性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PT.8、技术方案7</w:t>
            </w:r>
          </w:p>
        </w:tc>
        <w:tc>
          <w:tcPr>
            <w:tcW w:type="dxa" w:w="831"/>
          </w:tcPr>
          <w:p>
            <w:pPr>
              <w:pStyle w:val="null3"/>
              <w:jc w:val="right"/>
            </w:pPr>
            <w:r>
              <w:rPr>
                <w:b/>
              </w:rPr>
              <w:t>3.00</w:t>
            </w:r>
          </w:p>
        </w:tc>
        <w:tc>
          <w:tcPr>
            <w:tcW w:type="dxa" w:w="4153"/>
          </w:tcPr>
          <w:p>
            <w:pPr>
              <w:pStyle w:val="null3"/>
              <w:jc w:val="left"/>
            </w:pPr>
            <w:r>
              <w:rPr>
                <w:b/>
              </w:rPr>
              <w:t>磋商小组根据供应商提出的规划河段设计洪水所采用的分析计算方法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PT.9、质量保障措施</w:t>
            </w:r>
          </w:p>
        </w:tc>
        <w:tc>
          <w:tcPr>
            <w:tcW w:type="dxa" w:w="831"/>
          </w:tcPr>
          <w:p>
            <w:pPr>
              <w:pStyle w:val="null3"/>
              <w:jc w:val="right"/>
            </w:pPr>
            <w:r>
              <w:rPr>
                <w:b/>
              </w:rPr>
              <w:t>3.00</w:t>
            </w:r>
          </w:p>
        </w:tc>
        <w:tc>
          <w:tcPr>
            <w:tcW w:type="dxa" w:w="4153"/>
          </w:tcPr>
          <w:p>
            <w:pPr>
              <w:pStyle w:val="null3"/>
              <w:jc w:val="left"/>
            </w:pPr>
            <w:r>
              <w:rPr>
                <w:b/>
              </w:rPr>
              <w:t>磋商小组根据供应商提交的质量保障措施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PT.10、服务及进度保证措施</w:t>
            </w:r>
          </w:p>
        </w:tc>
        <w:tc>
          <w:tcPr>
            <w:tcW w:type="dxa" w:w="831"/>
          </w:tcPr>
          <w:p>
            <w:pPr>
              <w:pStyle w:val="null3"/>
              <w:jc w:val="right"/>
            </w:pPr>
            <w:r>
              <w:rPr>
                <w:b/>
              </w:rPr>
              <w:t>3.00</w:t>
            </w:r>
          </w:p>
        </w:tc>
        <w:tc>
          <w:tcPr>
            <w:tcW w:type="dxa" w:w="4153"/>
          </w:tcPr>
          <w:p>
            <w:pPr>
              <w:pStyle w:val="null3"/>
              <w:jc w:val="left"/>
            </w:pPr>
            <w:r>
              <w:rPr>
                <w:b/>
              </w:rPr>
              <w:t>磋商小组根据供应商提交的服务及进度保证措施进行评分：内容完整、合理、符合实际且能够适用于本项目的得3分；内容简单，未展开阐述但能够适用于本项目的得2分；内容简短、存在瑕疵但能够适用于本项目的得1分；未提供或不符合要求的本项不得分。</w:t>
            </w:r>
          </w:p>
        </w:tc>
      </w:tr>
      <w:tr>
        <w:tc>
          <w:tcPr>
            <w:tcW w:type="dxa" w:w="3322"/>
          </w:tcPr>
          <w:p>
            <w:pPr>
              <w:pStyle w:val="null3"/>
              <w:jc w:val="left"/>
            </w:pPr>
            <w:r>
              <w:rPr>
                <w:b/>
              </w:rPr>
              <w:t>PT.11、合理化建议</w:t>
            </w:r>
          </w:p>
        </w:tc>
        <w:tc>
          <w:tcPr>
            <w:tcW w:type="dxa" w:w="831"/>
          </w:tcPr>
          <w:p>
            <w:pPr>
              <w:pStyle w:val="null3"/>
              <w:jc w:val="right"/>
            </w:pPr>
            <w:r>
              <w:rPr>
                <w:b/>
              </w:rPr>
              <w:t>3.00</w:t>
            </w:r>
          </w:p>
        </w:tc>
        <w:tc>
          <w:tcPr>
            <w:tcW w:type="dxa" w:w="4153"/>
          </w:tcPr>
          <w:p>
            <w:pPr>
              <w:pStyle w:val="null3"/>
              <w:jc w:val="left"/>
            </w:pPr>
            <w:r>
              <w:rPr>
                <w:b/>
              </w:rPr>
              <w:t>磋商小组根据供应商针对本项目所提出的合理化建议进行评分：建议内容合理有效、符合实际且能够适用于本项目的得3分；内容较合理且能够适用于本项目的得2分；内容无针对性、存在瑕疵的得1分；未提供的本项不得分。</w:t>
            </w:r>
          </w:p>
        </w:tc>
      </w:tr>
    </w:tbl>
    <w:p>
      <w:pPr>
        <w:pStyle w:val="null3"/>
        <w:jc w:val="left"/>
      </w:pPr>
      <w:r>
        <w:rPr>
          <w:b/>
        </w:rPr>
        <w:t>商务部分评分PB 满分为18.00分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PB.1、设备配备1</w:t>
            </w:r>
          </w:p>
        </w:tc>
        <w:tc>
          <w:tcPr>
            <w:tcW w:type="dxa" w:w="831"/>
          </w:tcPr>
          <w:p>
            <w:pPr>
              <w:pStyle w:val="null3"/>
              <w:jc w:val="right"/>
            </w:pPr>
            <w:r>
              <w:rPr>
                <w:b/>
              </w:rPr>
              <w:t>3.00</w:t>
            </w:r>
          </w:p>
        </w:tc>
        <w:tc>
          <w:tcPr>
            <w:tcW w:type="dxa" w:w="4153"/>
          </w:tcPr>
          <w:p>
            <w:pPr>
              <w:pStyle w:val="null3"/>
              <w:jc w:val="left"/>
            </w:pPr>
            <w:r>
              <w:rPr>
                <w:b/>
              </w:rPr>
              <w:t>根据供应商提供的正射影像设备进行评分：拟投入本项目的设备中有航拍无人机的得3分，须提供设备的购置发票作为依据，否则不得分。</w:t>
            </w:r>
          </w:p>
        </w:tc>
      </w:tr>
      <w:tr>
        <w:tc>
          <w:tcPr>
            <w:tcW w:type="dxa" w:w="3322"/>
          </w:tcPr>
          <w:p>
            <w:pPr>
              <w:pStyle w:val="null3"/>
              <w:jc w:val="left"/>
            </w:pPr>
            <w:r>
              <w:rPr>
                <w:b/>
              </w:rPr>
              <w:t>PB.2、设备配备2</w:t>
            </w:r>
          </w:p>
        </w:tc>
        <w:tc>
          <w:tcPr>
            <w:tcW w:type="dxa" w:w="831"/>
          </w:tcPr>
          <w:p>
            <w:pPr>
              <w:pStyle w:val="null3"/>
              <w:jc w:val="right"/>
            </w:pPr>
            <w:r>
              <w:rPr>
                <w:b/>
              </w:rPr>
              <w:t>3.00</w:t>
            </w:r>
          </w:p>
        </w:tc>
        <w:tc>
          <w:tcPr>
            <w:tcW w:type="dxa" w:w="4153"/>
          </w:tcPr>
          <w:p>
            <w:pPr>
              <w:pStyle w:val="null3"/>
              <w:jc w:val="left"/>
            </w:pPr>
            <w:r>
              <w:rPr>
                <w:b/>
              </w:rPr>
              <w:t>根据供应商提供的正射影像设备进行评分：拟投入本项目的设备中有RTK的得3分，须提供设备的购置发票作为依据，否则不得分。</w:t>
            </w:r>
          </w:p>
        </w:tc>
      </w:tr>
      <w:tr>
        <w:tc>
          <w:tcPr>
            <w:tcW w:type="dxa" w:w="3322"/>
          </w:tcPr>
          <w:p>
            <w:pPr>
              <w:pStyle w:val="null3"/>
              <w:jc w:val="left"/>
            </w:pPr>
            <w:r>
              <w:rPr>
                <w:b/>
              </w:rPr>
              <w:t>PB.3、综合实力1</w:t>
            </w:r>
          </w:p>
        </w:tc>
        <w:tc>
          <w:tcPr>
            <w:tcW w:type="dxa" w:w="831"/>
          </w:tcPr>
          <w:p>
            <w:pPr>
              <w:pStyle w:val="null3"/>
              <w:jc w:val="right"/>
            </w:pPr>
            <w:r>
              <w:rPr>
                <w:b/>
              </w:rPr>
              <w:t>2.00</w:t>
            </w:r>
          </w:p>
        </w:tc>
        <w:tc>
          <w:tcPr>
            <w:tcW w:type="dxa" w:w="4153"/>
          </w:tcPr>
          <w:p>
            <w:pPr>
              <w:pStyle w:val="null3"/>
              <w:jc w:val="left"/>
            </w:pPr>
            <w:r>
              <w:rPr>
                <w:b/>
              </w:rPr>
              <w:t>根据供应商提供的项目负责人具有水利水电工程高级及以上职称的得2分。须提供该人员的职称证书复印件及递交响应文件截止前六个月内连续近3个月供应商为其缴纳社保的证明，否则不得分。</w:t>
            </w:r>
          </w:p>
        </w:tc>
      </w:tr>
      <w:tr>
        <w:tc>
          <w:tcPr>
            <w:tcW w:type="dxa" w:w="3322"/>
          </w:tcPr>
          <w:p>
            <w:pPr>
              <w:pStyle w:val="null3"/>
              <w:jc w:val="left"/>
            </w:pPr>
            <w:r>
              <w:rPr>
                <w:b/>
              </w:rPr>
              <w:t>PB.4、综合实力1</w:t>
            </w:r>
          </w:p>
        </w:tc>
        <w:tc>
          <w:tcPr>
            <w:tcW w:type="dxa" w:w="831"/>
          </w:tcPr>
          <w:p>
            <w:pPr>
              <w:pStyle w:val="null3"/>
              <w:jc w:val="right"/>
            </w:pPr>
            <w:r>
              <w:rPr>
                <w:b/>
              </w:rPr>
              <w:t>2.00</w:t>
            </w:r>
          </w:p>
        </w:tc>
        <w:tc>
          <w:tcPr>
            <w:tcW w:type="dxa" w:w="4153"/>
          </w:tcPr>
          <w:p>
            <w:pPr>
              <w:pStyle w:val="null3"/>
              <w:jc w:val="left"/>
            </w:pPr>
            <w:r>
              <w:rPr>
                <w:b/>
              </w:rPr>
              <w:t>根据供应商提供的技术负责人具有水利水电工程高级及以上职称的得2分（与上一条的项目负责人不可为同一人）。须提供该人员的职称证书复印件及递交响应文件截止前六个月内连续近3个月供应商为其缴纳社保的证明，否则不得分。</w:t>
            </w:r>
          </w:p>
        </w:tc>
      </w:tr>
      <w:tr>
        <w:tc>
          <w:tcPr>
            <w:tcW w:type="dxa" w:w="3322"/>
          </w:tcPr>
          <w:p>
            <w:pPr>
              <w:pStyle w:val="null3"/>
              <w:jc w:val="left"/>
            </w:pPr>
            <w:r>
              <w:rPr>
                <w:b/>
              </w:rPr>
              <w:t>PB.5、综合实力3</w:t>
            </w:r>
          </w:p>
        </w:tc>
        <w:tc>
          <w:tcPr>
            <w:tcW w:type="dxa" w:w="831"/>
          </w:tcPr>
          <w:p>
            <w:pPr>
              <w:pStyle w:val="null3"/>
              <w:jc w:val="right"/>
            </w:pPr>
            <w:r>
              <w:rPr>
                <w:b/>
              </w:rPr>
              <w:t>3.00</w:t>
            </w:r>
          </w:p>
        </w:tc>
        <w:tc>
          <w:tcPr>
            <w:tcW w:type="dxa" w:w="4153"/>
          </w:tcPr>
          <w:p>
            <w:pPr>
              <w:pStyle w:val="null3"/>
              <w:jc w:val="left"/>
            </w:pPr>
            <w:r>
              <w:rPr>
                <w:b/>
              </w:rPr>
              <w:t>根据供应商拟派驻本项目的项目组成员（不含项目负责人及技术负责人）中具有水利水电工程中级及以上职称的，每提供一人得1分，满分3分。须提供相应人员的职称证书复印件及递交响应文件截止前六个月内连续近3个月供应商为其缴纳社保的证明，否则不得分。</w:t>
            </w:r>
          </w:p>
        </w:tc>
      </w:tr>
      <w:tr>
        <w:tc>
          <w:tcPr>
            <w:tcW w:type="dxa" w:w="3322"/>
          </w:tcPr>
          <w:p>
            <w:pPr>
              <w:pStyle w:val="null3"/>
              <w:jc w:val="left"/>
            </w:pPr>
            <w:r>
              <w:rPr>
                <w:b/>
              </w:rPr>
              <w:t>PB.6、综合实力4</w:t>
            </w:r>
          </w:p>
        </w:tc>
        <w:tc>
          <w:tcPr>
            <w:tcW w:type="dxa" w:w="831"/>
          </w:tcPr>
          <w:p>
            <w:pPr>
              <w:pStyle w:val="null3"/>
              <w:jc w:val="right"/>
            </w:pPr>
            <w:r>
              <w:rPr>
                <w:b/>
              </w:rPr>
              <w:t>2.00</w:t>
            </w:r>
          </w:p>
        </w:tc>
        <w:tc>
          <w:tcPr>
            <w:tcW w:type="dxa" w:w="4153"/>
          </w:tcPr>
          <w:p>
            <w:pPr>
              <w:pStyle w:val="null3"/>
              <w:jc w:val="left"/>
            </w:pPr>
            <w:r>
              <w:rPr>
                <w:b/>
              </w:rPr>
              <w:t>根据各供应商提供计算机软件著作权证书情况由磋商小组进行评分：每提供一份计算机软件著作权证书得1分，满分2分。供应商须提供相关证书复印件，未提供的不得分。</w:t>
            </w:r>
          </w:p>
        </w:tc>
      </w:tr>
      <w:tr>
        <w:tc>
          <w:tcPr>
            <w:tcW w:type="dxa" w:w="3322"/>
          </w:tcPr>
          <w:p>
            <w:pPr>
              <w:pStyle w:val="null3"/>
              <w:jc w:val="left"/>
            </w:pPr>
            <w:r>
              <w:rPr>
                <w:b/>
              </w:rPr>
              <w:t>PB.7、相关经验</w:t>
            </w:r>
          </w:p>
        </w:tc>
        <w:tc>
          <w:tcPr>
            <w:tcW w:type="dxa" w:w="831"/>
          </w:tcPr>
          <w:p>
            <w:pPr>
              <w:pStyle w:val="null3"/>
              <w:jc w:val="right"/>
            </w:pPr>
            <w:r>
              <w:rPr>
                <w:b/>
              </w:rPr>
              <w:t>3.00</w:t>
            </w:r>
          </w:p>
        </w:tc>
        <w:tc>
          <w:tcPr>
            <w:tcW w:type="dxa" w:w="4153"/>
          </w:tcPr>
          <w:p>
            <w:pPr>
              <w:pStyle w:val="null3"/>
              <w:jc w:val="left"/>
            </w:pPr>
            <w:r>
              <w:rPr>
                <w:b/>
              </w:rPr>
              <w:t>供应商具有与本项目同类工程设计项目经验的，每提供一份得1分，满分3分。注：供应商须同时提供该经验项目的中标通知书复印件、采购合同文件复印件，以及能够证明该经验项目已经完成的批复文件复印件，否则不得分。</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10.1.3其他形式：</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6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7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1、按照闽财购〔2010〕28号文件规定，若供应商的技术部分实际得分少于磋商文件设定的技术部分总分50%，即视为技术部分未实质性响应磋商文件要求，按无效响应处理。</w:t>
            </w:r>
          </w:p>
        </w:tc>
      </w:tr>
      <w:tr>
        <w:tc>
          <w:tcPr>
            <w:tcW w:type="dxa" w:w="4153"/>
          </w:tcPr>
          <w:p>
            <w:pPr>
              <w:pStyle w:val="null3"/>
              <w:jc w:val="left"/>
            </w:pPr>
            <w:r>
              <w:rPr/>
              <w:t>其他情形</w:t>
            </w:r>
          </w:p>
        </w:tc>
        <w:tc>
          <w:tcPr>
            <w:tcW w:type="dxa" w:w="4153"/>
          </w:tcPr>
          <w:p>
            <w:pPr>
              <w:pStyle w:val="null3"/>
              <w:jc w:val="left"/>
            </w:pPr>
            <w:r>
              <w:rPr/>
              <w:t>2、供应商的响应文件不满足磋商文件“第三章 二、技术要求”中的任何一项要求的，其响应无效。</w:t>
            </w:r>
          </w:p>
        </w:tc>
      </w:tr>
      <w:tr>
        <w:tc>
          <w:tcPr>
            <w:tcW w:type="dxa" w:w="4153"/>
          </w:tcPr>
          <w:p>
            <w:pPr>
              <w:pStyle w:val="null3"/>
              <w:jc w:val="left"/>
            </w:pPr>
            <w:r>
              <w:rPr/>
              <w:t>其他情形</w:t>
            </w:r>
          </w:p>
        </w:tc>
        <w:tc>
          <w:tcPr>
            <w:tcW w:type="dxa" w:w="4153"/>
          </w:tcPr>
          <w:p>
            <w:pPr>
              <w:pStyle w:val="null3"/>
              <w:jc w:val="left"/>
            </w:pPr>
            <w:r>
              <w:rPr/>
              <w:t>3、违反磋商文件中载明“响应文件无效”（“响应无效”）条款的规定或不符合磋商文件中规定的其它实质性条款，其响应无效。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1、供应商的响应文件不满足磋商文件“第三章 三、商务条件”中的任何一项要求的，其响应无效。</w:t>
            </w:r>
          </w:p>
        </w:tc>
      </w:tr>
      <w:tr>
        <w:tc>
          <w:tcPr>
            <w:tcW w:type="dxa" w:w="4153"/>
          </w:tcPr>
          <w:p>
            <w:pPr>
              <w:pStyle w:val="null3"/>
              <w:jc w:val="left"/>
            </w:pPr>
            <w:r>
              <w:rPr/>
              <w:t>其他情形</w:t>
            </w:r>
          </w:p>
        </w:tc>
        <w:tc>
          <w:tcPr>
            <w:tcW w:type="dxa" w:w="4153"/>
          </w:tcPr>
          <w:p>
            <w:pPr>
              <w:pStyle w:val="null3"/>
              <w:jc w:val="left"/>
            </w:pPr>
            <w:r>
              <w:rPr/>
              <w:t>2、违反磋商文件中载明“响应文件无效”（“响应无效”）条款的规定或不符合磋商文件中规定的其它实质性条款，其响应无效。</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8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9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22.2信息公告指定媒体：详见竞争性磋商须知前附表第11项。</w:t>
      </w:r>
    </w:p>
    <w:p>
      <w:pPr>
        <w:pStyle w:val="null3"/>
        <w:jc w:val="left"/>
      </w:pPr>
      <w:r>
        <w:rPr/>
        <w:t>23.监督管理部门</w:t>
      </w:r>
    </w:p>
    <w:p>
      <w:pPr>
        <w:pStyle w:val="null3"/>
        <w:ind w:firstLine="480"/>
        <w:jc w:val="left"/>
      </w:pPr>
      <w:r>
        <w:rPr/>
        <w:t>23.1磋商采购活动的监督管理部门详见竞争性磋商须知前附表第12项。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13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26.1根据采购项目特点或政策需要补充的其他新增内容详见竞争性磋商须知前附表第14项。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jc w:val="both"/>
      </w:pPr>
      <w:r>
        <w:rPr>
          <w:rFonts w:ascii="宋体" w:hAnsi="宋体" w:cs="宋体" w:eastAsia="宋体"/>
          <w:b/>
          <w:sz w:val="24"/>
        </w:rPr>
        <w:t>本次采购项目为</w:t>
      </w:r>
      <w:r>
        <w:rPr>
          <w:rFonts w:ascii="宋体" w:hAnsi="宋体" w:cs="宋体" w:eastAsia="宋体"/>
          <w:b/>
          <w:sz w:val="24"/>
        </w:rPr>
        <w:t>霞浦县罗汉溪流域崇儒段中小河流域治理工程设计</w:t>
      </w:r>
      <w:r>
        <w:rPr>
          <w:rFonts w:ascii="宋体" w:hAnsi="宋体" w:cs="宋体" w:eastAsia="宋体"/>
          <w:b/>
          <w:sz w:val="24"/>
        </w:rPr>
        <w:t>，</w:t>
      </w:r>
      <w:r>
        <w:rPr>
          <w:rFonts w:ascii="宋体" w:hAnsi="宋体" w:cs="宋体" w:eastAsia="宋体"/>
          <w:b/>
          <w:sz w:val="24"/>
        </w:rPr>
        <w:t>供应商应根据磋商文件所提出的服务要求，选择最佳服务前来投标，以充分显示贵公司的竞争实力</w:t>
      </w:r>
      <w:r>
        <w:rPr>
          <w:rFonts w:ascii="宋体" w:hAnsi="宋体" w:cs="宋体" w:eastAsia="宋体"/>
          <w:sz w:val="24"/>
        </w:rPr>
        <w:t>。</w:t>
      </w:r>
    </w:p>
    <w:p>
      <w:pPr>
        <w:pStyle w:val="null3"/>
        <w:jc w:val="left"/>
        <w:outlineLvl w:val="2"/>
      </w:pPr>
      <w:r>
        <w:rPr>
          <w:b/>
          <w:sz w:val="28"/>
        </w:rPr>
        <w:t>二、技术要求</w:t>
      </w:r>
    </w:p>
    <w:p>
      <w:pPr>
        <w:pStyle w:val="null3"/>
        <w:jc w:val="left"/>
      </w:pPr>
    </w:p>
    <w:p>
      <w:pPr>
        <w:pStyle w:val="null3"/>
        <w:jc w:val="left"/>
      </w:pPr>
    </w:p>
    <w:p>
      <w:pPr>
        <w:pStyle w:val="null3"/>
        <w:jc w:val="left"/>
      </w:pPr>
      <w:r>
        <w:rPr>
          <w:rFonts w:ascii="宋体" w:hAnsi="宋体" w:cs="宋体" w:eastAsia="宋体"/>
          <w:b/>
          <w:color w:val="393939"/>
          <w:sz w:val="24"/>
          <w:shd w:fill="FFFFFF" w:val="clear"/>
        </w:rPr>
        <w:t>以下内容为不允许负偏离的实质性要求，有出现负偏离按无效响应处理。</w:t>
      </w:r>
    </w:p>
    <w:p>
      <w:pPr>
        <w:pStyle w:val="null3"/>
        <w:spacing w:before="105" w:after="105"/>
        <w:ind w:left="-180" w:right="-180"/>
        <w:jc w:val="left"/>
      </w:pPr>
    </w:p>
    <w:p>
      <w:pPr>
        <w:pStyle w:val="null3"/>
        <w:spacing w:before="105" w:after="105"/>
        <w:ind w:left="-180" w:right="-180"/>
        <w:jc w:val="left"/>
      </w:pPr>
      <w:r>
        <w:rPr>
          <w:rFonts w:ascii="宋体" w:hAnsi="宋体" w:cs="宋体" w:eastAsia="宋体"/>
          <w:b/>
          <w:color w:val="000000"/>
          <w:sz w:val="21"/>
          <w:shd w:fill="FFFFFF" w:val="clear"/>
        </w:rPr>
        <w:t>（一）编制主要依据</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1）《堤防工程设计规范》（GB50286－2013）；</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2）《防洪标准》（GB50201－2014）；</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3）《治涝标准》（SL723-2016）；</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4）《水利水电工程初步设计报告编制规程》（SL619－2013）；</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5）《水利水电工程等级划分及洪水标准》（SL252－2017）；</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6）《水工建筑物抗震设计规范》（SL203－97）；</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7）《水利水电工程设计工程量计算规定》（SL328－2005）</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8）《水工建筑物荷载设计规范》（DL5077－97）；</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9）《砌体结构设计规范》（GB50003－2001）；</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10）《建筑地基基础设计规范》（GB50007－2002）；</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11）《河道整治设计规范》（GB50707-2011）；</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12）《水工挡土墙设计规范》（SL379-2007）；</w:t>
      </w:r>
    </w:p>
    <w:p>
      <w:pPr>
        <w:pStyle w:val="null3"/>
        <w:spacing w:before="105" w:after="105"/>
        <w:ind w:left="-180" w:right="-180" w:firstLine="42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13）《水工混凝土结构设计规范》（SL191－2008）；</w:t>
      </w:r>
    </w:p>
    <w:p>
      <w:pPr>
        <w:pStyle w:val="null3"/>
        <w:spacing w:before="105" w:after="105"/>
        <w:ind w:left="-180" w:right="-180"/>
        <w:jc w:val="left"/>
      </w:pPr>
      <w:r>
        <w:rPr>
          <w:rFonts w:ascii="宋体" w:hAnsi="宋体" w:cs="宋体" w:eastAsia="宋体"/>
          <w:b/>
          <w:color w:val="000000"/>
          <w:sz w:val="21"/>
          <w:shd w:fill="FFFFFF" w:val="clear"/>
        </w:rPr>
        <w:t>（二）规划编制主要内容</w:t>
      </w:r>
    </w:p>
    <w:p>
      <w:pPr>
        <w:pStyle w:val="null3"/>
        <w:spacing w:before="75" w:after="75"/>
        <w:ind w:left="-180" w:right="-180" w:firstLine="480"/>
        <w:jc w:val="left"/>
      </w:pPr>
      <w:r>
        <w:rPr>
          <w:rFonts w:ascii="宋体" w:hAnsi="宋体" w:cs="宋体" w:eastAsia="宋体"/>
          <w:color w:val="000000"/>
          <w:sz w:val="21"/>
          <w:shd w:fill="FFFFFF" w:val="clear"/>
        </w:rPr>
        <w:t>1.主要内容</w:t>
      </w:r>
    </w:p>
    <w:p>
      <w:pPr>
        <w:pStyle w:val="null3"/>
        <w:spacing w:before="75" w:after="75"/>
        <w:ind w:left="-180" w:right="-180" w:firstLine="480"/>
        <w:jc w:val="left"/>
      </w:pPr>
      <w:r>
        <w:rPr>
          <w:rFonts w:ascii="宋体" w:hAnsi="宋体" w:cs="宋体" w:eastAsia="宋体"/>
          <w:color w:val="000000"/>
          <w:sz w:val="21"/>
          <w:shd w:fill="FFFFFF" w:val="clear"/>
        </w:rPr>
        <w:t>1.1</w:t>
      </w:r>
      <w:r>
        <w:rPr>
          <w:rFonts w:ascii="宋体" w:hAnsi="宋体" w:cs="宋体" w:eastAsia="宋体"/>
          <w:color w:val="000000"/>
          <w:sz w:val="21"/>
          <w:shd w:fill="FFFFFF" w:val="clear"/>
        </w:rPr>
        <w:t>通过对工程区河段的新建生态防冲护岸、生态清淤、清障等工程措施，使上述项目区两岸村镇及农田初步形成防冲体系，减缓洪水对两岸居民房屋及农田的侵蚀、淘刷。本工程的任务以防洪为主，兼顾排涝和景观。</w:t>
      </w:r>
    </w:p>
    <w:p>
      <w:pPr>
        <w:pStyle w:val="null3"/>
        <w:spacing w:before="75" w:after="75"/>
        <w:ind w:left="-180" w:right="-180" w:firstLine="480"/>
        <w:jc w:val="left"/>
      </w:pPr>
      <w:r>
        <w:rPr>
          <w:rFonts w:ascii="宋体" w:hAnsi="宋体" w:cs="宋体" w:eastAsia="宋体"/>
          <w:color w:val="000000"/>
          <w:sz w:val="21"/>
          <w:shd w:fill="FFFFFF" w:val="clear"/>
        </w:rPr>
        <w:t>1.2</w:t>
      </w:r>
      <w:r>
        <w:rPr>
          <w:rFonts w:ascii="宋体" w:hAnsi="宋体" w:cs="宋体" w:eastAsia="宋体"/>
          <w:color w:val="000000"/>
          <w:sz w:val="21"/>
          <w:shd w:fill="FFFFFF" w:val="clear"/>
        </w:rPr>
        <w:t>根据天然河道的纵横断面、水力要素、河流特性及冲於变化特点，以及乡镇发展的要求，本着安全、经济、合理、综合利用土地为原则，统筹兼顾上下游、左右岸关系，对工程区河段中小河流治理工程进行岸线布置。</w:t>
      </w:r>
    </w:p>
    <w:p>
      <w:pPr>
        <w:pStyle w:val="null3"/>
        <w:spacing w:before="75" w:after="75"/>
        <w:ind w:left="-180" w:right="-180" w:firstLine="480"/>
        <w:jc w:val="left"/>
      </w:pPr>
      <w:r>
        <w:rPr>
          <w:rFonts w:ascii="宋体" w:hAnsi="宋体" w:cs="宋体" w:eastAsia="宋体"/>
          <w:color w:val="000000"/>
          <w:sz w:val="21"/>
          <w:shd w:fill="FFFFFF" w:val="clear"/>
        </w:rPr>
        <w:t>1.3</w:t>
      </w:r>
      <w:r>
        <w:rPr>
          <w:rFonts w:ascii="宋体" w:hAnsi="宋体" w:cs="宋体" w:eastAsia="宋体"/>
          <w:color w:val="000000"/>
          <w:sz w:val="21"/>
          <w:shd w:fill="FFFFFF" w:val="clear"/>
        </w:rPr>
        <w:t>根据有关规范和本河段的特点，岸线布置应遵循以下原则：</w:t>
      </w:r>
    </w:p>
    <w:p>
      <w:pPr>
        <w:pStyle w:val="null3"/>
        <w:spacing w:before="75" w:after="75"/>
        <w:ind w:left="-180" w:right="-180" w:firstLine="48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1）依据《堤防工程设计规范》，岸线应与河势流向相适应，与洪水主流线平行，且与对岸间距不宜放大或缩小，有利于行洪；</w:t>
      </w:r>
    </w:p>
    <w:p>
      <w:pPr>
        <w:pStyle w:val="null3"/>
        <w:spacing w:before="75" w:after="75"/>
        <w:ind w:left="-180" w:right="-180" w:firstLine="48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2）岸线力求平稳，各堤段平缓连接，不采用折线急弯；</w:t>
      </w:r>
    </w:p>
    <w:p>
      <w:pPr>
        <w:pStyle w:val="null3"/>
        <w:spacing w:before="75" w:after="75"/>
        <w:ind w:left="-180" w:right="-180" w:firstLine="48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3）岸线原则上靠岸修建，不侵占河道断面；</w:t>
      </w:r>
    </w:p>
    <w:p>
      <w:pPr>
        <w:pStyle w:val="null3"/>
        <w:spacing w:before="75" w:after="75"/>
        <w:ind w:left="-180" w:right="-180" w:firstLine="48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4）岸线尽可能避开软弱地基、强透水地基，深水地带和古河道；</w:t>
      </w:r>
    </w:p>
    <w:p>
      <w:pPr>
        <w:pStyle w:val="null3"/>
        <w:spacing w:before="75" w:after="75"/>
        <w:ind w:left="-180" w:right="-180" w:firstLine="48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5）工程建设尽量少占耕地，在留足行洪断面，确保行洪安全的原则下，可以利用部分河滩地，为生产和城镇建设提供可利用的土地，达到治理促开发。</w:t>
      </w:r>
    </w:p>
    <w:p>
      <w:pPr>
        <w:pStyle w:val="null3"/>
        <w:spacing w:before="75" w:after="75"/>
        <w:ind w:left="-180" w:right="-180" w:firstLine="48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6）堤防建设，作好新建堤防与现状堤防的衔接。</w:t>
      </w:r>
    </w:p>
    <w:p>
      <w:pPr>
        <w:pStyle w:val="null3"/>
        <w:spacing w:before="75" w:after="75"/>
        <w:ind w:left="-180" w:right="-180" w:firstLine="480"/>
        <w:jc w:val="left"/>
      </w:pPr>
      <w:r>
        <w:rPr>
          <w:rFonts w:ascii="宋体" w:hAnsi="宋体" w:cs="宋体" w:eastAsia="宋体"/>
          <w:color w:val="000000"/>
          <w:sz w:val="21"/>
          <w:shd w:fill="FFFFFF" w:val="clear"/>
        </w:rPr>
        <w:t>（</w:t>
      </w:r>
      <w:r>
        <w:rPr>
          <w:rFonts w:ascii="宋体" w:hAnsi="宋体" w:cs="宋体" w:eastAsia="宋体"/>
          <w:color w:val="000000"/>
          <w:sz w:val="21"/>
          <w:shd w:fill="FFFFFF" w:val="clear"/>
        </w:rPr>
        <w:t>7）工程布置与城镇建设相协调配合，正确处理好与交通、城镇景观、城镇排水的关系。</w:t>
      </w:r>
    </w:p>
    <w:p>
      <w:pPr>
        <w:pStyle w:val="null3"/>
        <w:spacing w:before="105" w:after="105"/>
        <w:ind w:left="-180" w:right="-180" w:firstLine="420"/>
        <w:jc w:val="left"/>
      </w:pPr>
      <w:r>
        <w:rPr>
          <w:rFonts w:ascii="宋体" w:hAnsi="宋体" w:cs="宋体" w:eastAsia="宋体"/>
          <w:color w:val="000000"/>
          <w:sz w:val="21"/>
          <w:shd w:fill="FFFFFF" w:val="clear"/>
        </w:rPr>
        <w:t>2.</w:t>
      </w:r>
      <w:r>
        <w:rPr>
          <w:rFonts w:ascii="宋体" w:hAnsi="宋体" w:cs="宋体" w:eastAsia="宋体"/>
          <w:color w:val="000000"/>
          <w:sz w:val="21"/>
          <w:shd w:fill="FFFFFF" w:val="clear"/>
        </w:rPr>
        <w:t>水文分析计算</w:t>
      </w:r>
      <w:r>
        <w:rPr>
          <w:rFonts w:ascii="宋体" w:hAnsi="宋体" w:cs="宋体" w:eastAsia="宋体"/>
          <w:color w:val="000000"/>
          <w:sz w:val="21"/>
          <w:shd w:fill="FFFFFF" w:val="clear"/>
        </w:rPr>
        <w:t xml:space="preserve"> </w:t>
      </w:r>
    </w:p>
    <w:p>
      <w:pPr>
        <w:pStyle w:val="null3"/>
        <w:spacing w:before="75" w:after="75"/>
        <w:ind w:left="-180" w:right="-180" w:firstLine="480"/>
        <w:jc w:val="left"/>
      </w:pPr>
      <w:r>
        <w:rPr>
          <w:rFonts w:ascii="宋体" w:hAnsi="宋体" w:cs="宋体" w:eastAsia="宋体"/>
          <w:color w:val="000000"/>
          <w:sz w:val="21"/>
          <w:shd w:fill="FFFFFF" w:val="clear"/>
        </w:rPr>
        <w:t>2.1</w:t>
      </w:r>
      <w:r>
        <w:rPr>
          <w:rFonts w:ascii="宋体" w:hAnsi="宋体" w:cs="宋体" w:eastAsia="宋体"/>
          <w:color w:val="000000"/>
          <w:sz w:val="21"/>
          <w:shd w:fill="FFFFFF" w:val="clear"/>
        </w:rPr>
        <w:t>水文分析计算是规划的重要环节，是确定防洪岸线或临水控制线、河道管理范围线（外缘控制线）的主要技术依据。水文分析计算，包括准备工作、设计洪水计算、水面线推算等步骤。</w:t>
      </w:r>
    </w:p>
    <w:p>
      <w:pPr>
        <w:pStyle w:val="null3"/>
        <w:spacing w:before="75" w:after="75"/>
        <w:ind w:left="-180" w:right="-180" w:firstLine="480"/>
        <w:jc w:val="left"/>
      </w:pPr>
      <w:r>
        <w:rPr>
          <w:rFonts w:ascii="宋体" w:hAnsi="宋体" w:cs="宋体" w:eastAsia="宋体"/>
          <w:color w:val="000000"/>
          <w:sz w:val="21"/>
          <w:shd w:fill="FFFFFF" w:val="clear"/>
        </w:rPr>
        <w:t>2.2</w:t>
      </w:r>
      <w:r>
        <w:rPr>
          <w:rFonts w:ascii="宋体" w:hAnsi="宋体" w:cs="宋体" w:eastAsia="宋体"/>
          <w:color w:val="000000"/>
          <w:sz w:val="21"/>
          <w:shd w:fill="FFFFFF" w:val="clear"/>
        </w:rPr>
        <w:t>河势稳定性分析。说明规划范围内河段的河势变化基本情况。对近年来冲淤变化大、主流摆动、崩塌岸现象较严重、河势变化剧烈的河段，应作重点分析。</w:t>
      </w:r>
    </w:p>
    <w:p>
      <w:pPr>
        <w:pStyle w:val="null3"/>
        <w:spacing w:before="105" w:after="105"/>
        <w:ind w:left="-180" w:right="-180" w:firstLine="420"/>
        <w:jc w:val="left"/>
      </w:pPr>
      <w:r>
        <w:rPr>
          <w:rFonts w:ascii="宋体" w:hAnsi="宋体" w:cs="宋体" w:eastAsia="宋体"/>
          <w:color w:val="000000"/>
          <w:sz w:val="21"/>
          <w:shd w:fill="FFFFFF" w:val="clear"/>
        </w:rPr>
        <w:t>3.</w:t>
      </w:r>
      <w:r>
        <w:rPr>
          <w:rFonts w:ascii="宋体" w:hAnsi="宋体" w:cs="宋体" w:eastAsia="宋体"/>
          <w:color w:val="000000"/>
          <w:sz w:val="21"/>
          <w:shd w:fill="FFFFFF" w:val="clear"/>
        </w:rPr>
        <w:t>地形图资料</w:t>
      </w:r>
    </w:p>
    <w:p>
      <w:pPr>
        <w:pStyle w:val="null3"/>
        <w:spacing w:before="105" w:after="105"/>
        <w:ind w:left="-180" w:right="-180" w:firstLine="420"/>
        <w:jc w:val="left"/>
      </w:pPr>
      <w:r>
        <w:rPr>
          <w:rFonts w:ascii="宋体" w:hAnsi="宋体" w:cs="宋体" w:eastAsia="宋体"/>
          <w:color w:val="000000"/>
          <w:sz w:val="21"/>
          <w:shd w:fill="FFFFFF" w:val="clear"/>
        </w:rPr>
        <w:t>1:2000河道地形图测量和河道正射影像成果采集，并提交相应电子成果。</w:t>
      </w:r>
    </w:p>
    <w:p>
      <w:pPr>
        <w:pStyle w:val="null3"/>
        <w:spacing w:before="105" w:after="105"/>
        <w:ind w:right="-180"/>
        <w:jc w:val="left"/>
      </w:pPr>
      <w:r>
        <w:rPr>
          <w:rFonts w:ascii="宋体" w:hAnsi="宋体" w:cs="宋体" w:eastAsia="宋体"/>
          <w:b/>
          <w:color w:val="000000"/>
          <w:sz w:val="21"/>
          <w:shd w:fill="FFFFFF" w:val="clear"/>
        </w:rPr>
        <w:t>（三）验收要求</w:t>
      </w:r>
    </w:p>
    <w:p>
      <w:pPr>
        <w:pStyle w:val="null3"/>
        <w:spacing w:before="75" w:after="75"/>
        <w:ind w:left="-180" w:right="-180" w:firstLine="480"/>
        <w:jc w:val="left"/>
      </w:pPr>
      <w:r>
        <w:rPr>
          <w:rFonts w:ascii="宋体" w:hAnsi="宋体" w:cs="宋体" w:eastAsia="宋体"/>
          <w:color w:val="000000"/>
          <w:sz w:val="21"/>
          <w:shd w:fill="FFFFFF" w:val="clear"/>
        </w:rPr>
        <w:t>1.</w:t>
      </w:r>
      <w:r>
        <w:rPr>
          <w:rFonts w:ascii="宋体" w:hAnsi="宋体" w:cs="宋体" w:eastAsia="宋体"/>
          <w:color w:val="000000"/>
          <w:sz w:val="21"/>
          <w:shd w:fill="FFFFFF" w:val="clear"/>
        </w:rPr>
        <w:t>符合福建省水利厅出台的《福建省中小河流治理项目初步设计编制指导意见》及国家现行规范及法律法规的要求，通过专家审查并取得的有权部门审批。</w:t>
      </w:r>
    </w:p>
    <w:p>
      <w:pPr>
        <w:pStyle w:val="null3"/>
        <w:jc w:val="both"/>
      </w:pP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须提供合格的按河流为单位分别独立编制成册的设计成果文件</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1、期次1，说明：通过专家审查并取得的有权部门审批。</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1、初设批复下达后支付合同金额的65%，达到付款条件起7日内，支付合同总金额的65.00%</w:t>
            </w:r>
          </w:p>
          <w:p>
            <w:pPr>
              <w:pStyle w:val="null3"/>
              <w:jc w:val="left"/>
            </w:pPr>
            <w:r>
              <w:rPr/>
              <w:t>2、施工图提交后支付合同金额的30%，达到付款条件起7日内，支付合同总金额的30.00%</w:t>
            </w:r>
          </w:p>
          <w:p>
            <w:pPr>
              <w:pStyle w:val="null3"/>
              <w:jc w:val="left"/>
            </w:pPr>
            <w:r>
              <w:rPr/>
              <w:t>3、完工验收后付清余款，达到付款条件起7日内，支付合同总金额的5.00%</w:t>
            </w:r>
          </w:p>
        </w:tc>
      </w:tr>
    </w:tbl>
    <w:p>
      <w:pPr>
        <w:pStyle w:val="null3"/>
        <w:jc w:val="left"/>
      </w:pPr>
      <w:r>
        <w:rPr/>
        <w:t>其他商务要求：</w:t>
      </w:r>
    </w:p>
    <w:p>
      <w:pPr>
        <w:pStyle w:val="null3"/>
        <w:jc w:val="left"/>
      </w:pPr>
    </w:p>
    <w:p>
      <w:pPr>
        <w:pStyle w:val="null3"/>
        <w:jc w:val="left"/>
      </w:pPr>
    </w:p>
    <w:p>
      <w:pPr>
        <w:pStyle w:val="null3"/>
        <w:jc w:val="both"/>
      </w:pPr>
      <w:r>
        <w:rPr>
          <w:rFonts w:ascii="宋体" w:hAnsi="宋体" w:cs="宋体" w:eastAsia="宋体"/>
          <w:b/>
          <w:color w:val="393939"/>
          <w:sz w:val="24"/>
          <w:shd w:fill="FFFFFF" w:val="clear"/>
        </w:rPr>
        <w:t>以下内容为不允许负偏离的实质性要求，有出现负偏离按无效响应处理。</w:t>
      </w:r>
    </w:p>
    <w:p>
      <w:pPr>
        <w:pStyle w:val="null3"/>
        <w:jc w:val="left"/>
      </w:pPr>
      <w:r>
        <w:rPr>
          <w:rFonts w:ascii="宋体" w:hAnsi="宋体" w:cs="宋体" w:eastAsia="宋体"/>
          <w:color w:val="000000"/>
          <w:sz w:val="21"/>
          <w:shd w:fill="FFFFFF" w:val="clear"/>
        </w:rPr>
        <w:t>1、本项目成交供应商禁止将本项目进行分包与转包。若发现转包挂靠、分包、转包等，一经核实，采购人有权单方面取消其成交资格同时中止合同由此产生的所有责任和损失均由成交供应商负责，采购人有权向成交供应商索赔；已施工部分不得拆除损毁，采购人不对成交供应商作任何赔偿（除竞争性磋商文件有要求外）。</w:t>
      </w:r>
    </w:p>
    <w:p>
      <w:pPr>
        <w:pStyle w:val="null3"/>
        <w:jc w:val="left"/>
      </w:pPr>
      <w:r>
        <w:rPr>
          <w:rFonts w:ascii="宋体" w:hAnsi="宋体" w:cs="宋体" w:eastAsia="宋体"/>
          <w:color w:val="000000"/>
          <w:sz w:val="21"/>
          <w:shd w:fill="FFFFFF" w:val="clear"/>
        </w:rPr>
        <w:t>2、供应商的报价应是包含项目所涉及的所有有关费用，包括</w:t>
      </w:r>
      <w:r>
        <w:rPr>
          <w:rFonts w:ascii="宋体" w:hAnsi="宋体" w:cs="宋体" w:eastAsia="宋体"/>
          <w:color w:val="000000"/>
          <w:sz w:val="21"/>
          <w:shd w:fill="FFFFFF" w:val="clear"/>
        </w:rPr>
        <w:t>设计、</w:t>
      </w:r>
      <w:r>
        <w:rPr>
          <w:rFonts w:ascii="宋体" w:hAnsi="宋体" w:cs="宋体" w:eastAsia="宋体"/>
          <w:color w:val="000000"/>
          <w:sz w:val="21"/>
          <w:shd w:fill="FFFFFF" w:val="clear"/>
        </w:rPr>
        <w:t>编制费、评审费、监测费、人员工资、税金、打印文稿费用、保险等</w:t>
      </w:r>
      <w:r>
        <w:rPr>
          <w:rFonts w:ascii="宋体" w:hAnsi="宋体" w:cs="宋体" w:eastAsia="宋体"/>
          <w:color w:val="000000"/>
          <w:sz w:val="21"/>
          <w:shd w:fill="FFFFFF" w:val="clear"/>
        </w:rPr>
        <w:t>完成本项目服务所涉及的</w:t>
      </w:r>
      <w:r>
        <w:rPr>
          <w:rFonts w:ascii="宋体" w:hAnsi="宋体" w:cs="宋体" w:eastAsia="宋体"/>
          <w:color w:val="000000"/>
          <w:sz w:val="21"/>
          <w:shd w:fill="FFFFFF" w:val="clear"/>
        </w:rPr>
        <w:t>一切费用。</w:t>
      </w:r>
    </w:p>
    <w:p>
      <w:pPr>
        <w:pStyle w:val="null3"/>
        <w:jc w:val="left"/>
      </w:pPr>
      <w:r>
        <w:rPr>
          <w:rFonts w:ascii="宋体" w:hAnsi="宋体" w:cs="宋体" w:eastAsia="宋体"/>
          <w:color w:val="000000"/>
          <w:sz w:val="21"/>
          <w:shd w:fill="FFFFFF" w:val="clear"/>
        </w:rPr>
        <w:t>3、</w:t>
      </w:r>
      <w:r>
        <w:rPr>
          <w:rFonts w:ascii="宋体" w:hAnsi="宋体" w:cs="宋体" w:eastAsia="宋体"/>
          <w:color w:val="000000"/>
          <w:sz w:val="21"/>
          <w:shd w:fill="FFFFFF" w:val="clear"/>
        </w:rPr>
        <w:t>违约责任</w:t>
      </w:r>
    </w:p>
    <w:p>
      <w:pPr>
        <w:pStyle w:val="null3"/>
        <w:jc w:val="left"/>
      </w:pPr>
      <w:r>
        <w:rPr>
          <w:rFonts w:ascii="宋体" w:hAnsi="宋体" w:cs="宋体" w:eastAsia="宋体"/>
          <w:color w:val="000000"/>
          <w:sz w:val="21"/>
          <w:shd w:fill="FFFFFF" w:val="clear"/>
        </w:rPr>
        <w:t>3</w:t>
      </w:r>
      <w:r>
        <w:rPr>
          <w:rFonts w:ascii="宋体" w:hAnsi="宋体" w:cs="宋体" w:eastAsia="宋体"/>
          <w:color w:val="000000"/>
          <w:sz w:val="21"/>
          <w:shd w:fill="FFFFFF" w:val="clear"/>
        </w:rPr>
        <w:t>.1因成交人原因造成采购合同无法按时签订，视为成交人违约，成交人违约对采购人造成的损失的，需另行支付相应的赔偿。</w:t>
      </w:r>
    </w:p>
    <w:p>
      <w:pPr>
        <w:pStyle w:val="null3"/>
        <w:jc w:val="left"/>
      </w:pPr>
      <w:r>
        <w:rPr>
          <w:rFonts w:ascii="宋体" w:hAnsi="宋体" w:cs="宋体" w:eastAsia="宋体"/>
          <w:color w:val="000000"/>
          <w:sz w:val="21"/>
          <w:shd w:fill="FFFFFF" w:val="clear"/>
        </w:rPr>
        <w:t>3</w:t>
      </w:r>
      <w:r>
        <w:rPr>
          <w:rFonts w:ascii="宋体" w:hAnsi="宋体" w:cs="宋体" w:eastAsia="宋体"/>
          <w:color w:val="000000"/>
          <w:sz w:val="21"/>
          <w:shd w:fill="FFFFFF" w:val="clear"/>
        </w:rPr>
        <w:t>.2在签定采购合同之后，成交人要求解除合同的，视为成交人违约，对采购人造成的损失的，成交人需支付相应的赔偿。</w:t>
      </w:r>
    </w:p>
    <w:p>
      <w:pPr>
        <w:pStyle w:val="null3"/>
        <w:jc w:val="left"/>
      </w:pPr>
      <w:r>
        <w:rPr>
          <w:rFonts w:ascii="宋体" w:hAnsi="宋体" w:cs="宋体" w:eastAsia="宋体"/>
          <w:color w:val="000000"/>
          <w:sz w:val="21"/>
          <w:shd w:fill="FFFFFF" w:val="clear"/>
        </w:rPr>
        <w:t>3</w:t>
      </w:r>
      <w:r>
        <w:rPr>
          <w:rFonts w:ascii="宋体" w:hAnsi="宋体" w:cs="宋体" w:eastAsia="宋体"/>
          <w:color w:val="000000"/>
          <w:sz w:val="21"/>
          <w:shd w:fill="FFFFFF" w:val="clear"/>
        </w:rPr>
        <w:t>.3因成交人原因发生重大质量事故，除依约承担赔偿责任外，还将按有关质量管理办法规定执行。同时，采购人有权保留更换成交人的权利，并报相关行政主管部门处罚。</w:t>
      </w:r>
    </w:p>
    <w:p>
      <w:pPr>
        <w:pStyle w:val="null3"/>
        <w:jc w:val="left"/>
      </w:pPr>
      <w:r>
        <w:rPr>
          <w:rFonts w:ascii="宋体" w:hAnsi="宋体" w:cs="宋体" w:eastAsia="宋体"/>
          <w:color w:val="000000"/>
          <w:sz w:val="21"/>
          <w:shd w:fill="FFFFFF" w:val="clear"/>
        </w:rPr>
        <w:t>3</w:t>
      </w:r>
      <w:r>
        <w:rPr>
          <w:rFonts w:ascii="宋体" w:hAnsi="宋体" w:cs="宋体" w:eastAsia="宋体"/>
          <w:color w:val="000000"/>
          <w:sz w:val="21"/>
          <w:shd w:fill="FFFFFF" w:val="clear"/>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jc w:val="left"/>
      </w:pPr>
      <w:r>
        <w:rPr>
          <w:rFonts w:ascii="宋体" w:hAnsi="宋体" w:cs="宋体" w:eastAsia="宋体"/>
          <w:color w:val="000000"/>
          <w:sz w:val="21"/>
          <w:shd w:fill="FFFFFF" w:val="clear"/>
        </w:rPr>
        <w:t>3</w:t>
      </w:r>
      <w:r>
        <w:rPr>
          <w:rFonts w:ascii="宋体" w:hAnsi="宋体" w:cs="宋体" w:eastAsia="宋体"/>
          <w:color w:val="000000"/>
          <w:sz w:val="21"/>
          <w:shd w:fill="FFFFFF" w:val="clear"/>
        </w:rPr>
        <w:t>.5在明确违约责任后，中标人应在接到书面通知书起七天内支付违约金、赔偿金等。</w:t>
      </w:r>
    </w:p>
    <w:p>
      <w:pPr>
        <w:pStyle w:val="null3"/>
        <w:jc w:val="left"/>
      </w:pPr>
      <w:r>
        <w:rPr>
          <w:rFonts w:ascii="宋体" w:hAnsi="宋体" w:cs="宋体" w:eastAsia="宋体"/>
          <w:color w:val="000000"/>
          <w:sz w:val="21"/>
          <w:shd w:fill="FFFFFF" w:val="clear"/>
        </w:rPr>
        <w:t>4</w:t>
      </w:r>
      <w:r>
        <w:rPr>
          <w:rFonts w:ascii="宋体" w:hAnsi="宋体" w:cs="宋体" w:eastAsia="宋体"/>
          <w:color w:val="000000"/>
          <w:sz w:val="21"/>
          <w:shd w:fill="FFFFFF" w:val="clear"/>
        </w:rPr>
        <w:t>、知识产权</w:t>
      </w:r>
    </w:p>
    <w:p>
      <w:pPr>
        <w:pStyle w:val="null3"/>
        <w:jc w:val="both"/>
      </w:pPr>
      <w:r>
        <w:rPr>
          <w:rFonts w:ascii="宋体" w:hAnsi="宋体" w:cs="宋体" w:eastAsia="宋体"/>
          <w:color w:val="000000"/>
          <w:sz w:val="21"/>
          <w:shd w:fill="FFFFFF" w:val="clear"/>
        </w:rPr>
        <w:t>供应商须保障采购人在使用该货物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pPr>
        <w:pStyle w:val="null3"/>
        <w:jc w:val="left"/>
        <w:outlineLvl w:val="2"/>
      </w:pPr>
      <w:r>
        <w:rPr>
          <w:b/>
          <w:sz w:val="28"/>
        </w:rPr>
        <w:t>四、其他事项</w:t>
      </w:r>
    </w:p>
    <w:p>
      <w:pPr>
        <w:pStyle w:val="null3"/>
        <w:jc w:val="left"/>
      </w:pPr>
    </w:p>
    <w:p>
      <w:pPr>
        <w:pStyle w:val="null3"/>
        <w:jc w:val="left"/>
      </w:pPr>
      <w:r>
        <w:rPr/>
        <w:t>本竞争性磋商文件未明确的其它约定事项或条款，待采购人与成交供应商签订合同时，由双方协商订立。</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r>
        <w:br/>
      </w:r>
      <w:r>
        <w:br/>
      </w:r>
    </w:p>
    <w:p>
      <w:pPr>
        <w:pStyle w:val="null3"/>
        <w:ind w:firstLine="480"/>
        <w:jc w:val="center"/>
      </w:pPr>
      <w:r>
        <w:rPr/>
        <w:t>※注意事项：</w:t>
      </w:r>
    </w:p>
    <w:p>
      <w:pPr>
        <w:pStyle w:val="null3"/>
        <w:ind w:firstLine="480"/>
        <w:jc w:val="center"/>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b/>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供应商为监狱企业，提供本单位制造的货物（承接的服务），并在电子响应文件中提供省级以上监狱管理局、戒毒管理局（含新疆生产建设兵团）出具的属于监狱企业的证明文件。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