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（服务类）</w:t>
      </w:r>
    </w:p>
    <w:p>
      <w:pPr>
        <w:pStyle w:val="null3"/>
        <w:jc w:val="center"/>
        <w:outlineLvl w:val="2"/>
      </w:pPr>
      <w:r>
        <w:rPr>
          <w:b/>
          <w:sz w:val="28"/>
        </w:rPr>
        <w:t>项目名称：</w:t>
      </w:r>
      <w:r>
        <w:rPr>
          <w:b/>
          <w:sz w:val="28"/>
        </w:rPr>
        <w:t>宁德市物流规划编制服务采购项目(二次)</w:t>
      </w:r>
    </w:p>
    <w:p>
      <w:pPr>
        <w:pStyle w:val="null3"/>
        <w:jc w:val="center"/>
        <w:outlineLvl w:val="2"/>
      </w:pPr>
      <w:r>
        <w:rPr>
          <w:b/>
          <w:sz w:val="28"/>
        </w:rPr>
        <w:t>备案编号：</w:t>
      </w:r>
      <w:r>
        <w:rPr>
          <w:b/>
          <w:sz w:val="28"/>
        </w:rPr>
        <w:t>CGXM-2023-350901-02042[2023]01484</w:t>
      </w:r>
    </w:p>
    <w:p>
      <w:pPr>
        <w:pStyle w:val="null3"/>
        <w:jc w:val="center"/>
        <w:outlineLvl w:val="2"/>
      </w:pPr>
      <w:r>
        <w:rPr>
          <w:b/>
          <w:sz w:val="28"/>
        </w:rPr>
        <w:t>项目编号：</w:t>
      </w:r>
      <w:r>
        <w:rPr>
          <w:b/>
          <w:sz w:val="28"/>
        </w:rPr>
        <w:t>[350901]中宸泓[CS]2023001-1</w:t>
      </w:r>
    </w:p>
    <w:p>
      <w:pPr>
        <w:pStyle w:val="null3"/>
        <w:jc w:val="center"/>
        <w:outlineLvl w:val="2"/>
      </w:pPr>
      <w:r>
        <w:rPr>
          <w:b/>
          <w:sz w:val="28"/>
        </w:rPr>
        <w:t>采购人：</w:t>
      </w:r>
      <w:r>
        <w:rPr>
          <w:b/>
          <w:sz w:val="28"/>
        </w:rPr>
        <w:t>宁德市交通运输局</w:t>
      </w:r>
    </w:p>
    <w:p>
      <w:pPr>
        <w:pStyle w:val="null3"/>
        <w:jc w:val="center"/>
        <w:outlineLvl w:val="2"/>
      </w:pPr>
      <w:r>
        <w:rPr>
          <w:b/>
          <w:sz w:val="28"/>
        </w:rPr>
        <w:t>代理机构：</w:t>
      </w:r>
      <w:r>
        <w:rPr>
          <w:b/>
          <w:sz w:val="28"/>
        </w:rPr>
        <w:t>中宸泓（福建）工程项目管理有限公司</w:t>
      </w:r>
    </w:p>
    <w:p>
      <w:pPr>
        <w:pStyle w:val="null3"/>
        <w:jc w:val="center"/>
        <w:outlineLvl w:val="2"/>
      </w:pPr>
      <w:r>
        <w:rPr>
          <w:b/>
          <w:sz w:val="28"/>
        </w:rPr>
        <w:t>编制时间</w:t>
      </w:r>
      <w:r>
        <w:rPr>
          <w:b/>
          <w:sz w:val="28"/>
        </w:rPr>
        <w:t>：</w:t>
      </w:r>
      <w:r>
        <w:rPr>
          <w:b/>
          <w:sz w:val="28"/>
        </w:rPr>
        <w:t>2024年01月</w:t>
      </w:r>
    </w:p>
    <w:p>
      <w:pPr>
        <w:pStyle w:val="null3"/>
      </w:pPr>
      <w:r>
        <w:rPr/>
        <w:t xml:space="preserve"> </w:t>
        <w:br/>
        <w:br w:type="page"/>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宁德市交通运输局</w:t>
      </w:r>
      <w:r>
        <w:rPr/>
        <w:t xml:space="preserve"> 已根据政府采购相关法律法规，经相应程序确定采用 竞争性磋商 方式组织 </w:t>
      </w:r>
      <w:r>
        <w:rPr/>
        <w:t>宁德市物流规划编制服务采购项目(二次)</w:t>
      </w:r>
      <w:r>
        <w:rPr/>
        <w:t xml:space="preserve"> 项目（以下简称：“本项目”）的政府采购活动， </w:t>
      </w:r>
      <w:r>
        <w:rPr/>
        <w:t>现欢迎国内合格的供应商前来参加。</w:t>
      </w:r>
      <w:r>
        <w:rPr/>
        <w:t xml:space="preserve"> 本项目由采购人委托 </w:t>
      </w:r>
      <w:r>
        <w:rPr/>
        <w:t>中宸泓（福建）工程项目管理有限公司</w:t>
      </w:r>
      <w:r>
        <w:rPr/>
        <w:t xml:space="preserve"> 开展竞争性磋商活动。</w:t>
      </w:r>
    </w:p>
    <w:p>
      <w:pPr>
        <w:pStyle w:val="null3"/>
        <w:ind w:firstLine="480"/>
        <w:jc w:val="left"/>
        <w:outlineLvl w:val="2"/>
      </w:pPr>
      <w:r>
        <w:rPr>
          <w:b/>
          <w:sz w:val="28"/>
        </w:rPr>
        <w:t>1.项目名称</w:t>
      </w:r>
      <w:r>
        <w:rPr>
          <w:b/>
          <w:sz w:val="28"/>
        </w:rPr>
        <w:t xml:space="preserve">： </w:t>
      </w:r>
      <w:r>
        <w:rPr>
          <w:b/>
          <w:sz w:val="28"/>
        </w:rPr>
        <w:t>宁德市物流规划编制服务采购项目(二次)</w:t>
      </w:r>
    </w:p>
    <w:p>
      <w:pPr>
        <w:pStyle w:val="null3"/>
        <w:ind w:firstLine="480"/>
        <w:jc w:val="left"/>
        <w:outlineLvl w:val="2"/>
      </w:pPr>
      <w:r>
        <w:rPr>
          <w:b/>
          <w:sz w:val="28"/>
        </w:rPr>
        <w:t>2.备案编号</w:t>
      </w:r>
      <w:r>
        <w:rPr>
          <w:b/>
          <w:sz w:val="28"/>
        </w:rPr>
        <w:t xml:space="preserve">： </w:t>
      </w:r>
      <w:r>
        <w:rPr>
          <w:b/>
          <w:sz w:val="28"/>
        </w:rPr>
        <w:t>CGXM-2023-350901-02042[2023]01484</w:t>
      </w:r>
    </w:p>
    <w:p>
      <w:pPr>
        <w:pStyle w:val="null3"/>
        <w:ind w:firstLine="480"/>
        <w:jc w:val="left"/>
        <w:outlineLvl w:val="2"/>
      </w:pPr>
      <w:r>
        <w:rPr>
          <w:b/>
          <w:sz w:val="28"/>
        </w:rPr>
        <w:t>3.项目编号</w:t>
      </w:r>
      <w:r>
        <w:rPr>
          <w:b/>
          <w:sz w:val="28"/>
        </w:rPr>
        <w:t xml:space="preserve">： </w:t>
      </w:r>
      <w:r>
        <w:rPr>
          <w:b/>
          <w:sz w:val="28"/>
        </w:rPr>
        <w:t>[350901]中宸泓[CS]2023001-1</w:t>
      </w:r>
    </w:p>
    <w:p>
      <w:pPr>
        <w:pStyle w:val="null3"/>
        <w:ind w:firstLine="480"/>
        <w:jc w:val="left"/>
        <w:outlineLvl w:val="2"/>
      </w:pPr>
      <w:r>
        <w:rPr>
          <w:b/>
          <w:sz w:val="28"/>
        </w:rPr>
        <w:t>4.采购内容及要求：</w:t>
      </w:r>
    </w:p>
    <w:p>
      <w:pPr>
        <w:pStyle w:val="null3"/>
        <w:ind w:firstLine="960"/>
        <w:jc w:val="left"/>
      </w:pPr>
      <w:r>
        <w:rPr/>
        <w:t>采购包1：</w:t>
      </w:r>
    </w:p>
    <w:p>
      <w:pPr>
        <w:pStyle w:val="null3"/>
        <w:jc w:val="left"/>
      </w:pPr>
      <w:r>
        <w:rPr/>
        <w:t>采购包预算金额（元）: 1,000,000.00</w:t>
      </w:r>
    </w:p>
    <w:p>
      <w:pPr>
        <w:pStyle w:val="null3"/>
        <w:jc w:val="left"/>
      </w:pPr>
      <w:r>
        <w:rPr/>
        <w:t>采购包最高限价（元）: 1,000,000.00</w:t>
      </w:r>
    </w:p>
    <w:p>
      <w:pPr>
        <w:pStyle w:val="null3"/>
        <w:jc w:val="left"/>
      </w:pPr>
      <w:r>
        <w:rPr/>
        <w:t>采购包保证金金额（元）: 10,000.00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物流规划编制服务</w:t>
            </w:r>
          </w:p>
        </w:tc>
        <w:tc>
          <w:tcPr>
            <w:tcW w:type="dxa" w:w="1187"/>
          </w:tcPr>
          <w:p>
            <w:pPr>
              <w:pStyle w:val="null3"/>
              <w:jc w:val="right"/>
            </w:pPr>
            <w:r>
              <w:rPr/>
              <w:t>1.00</w:t>
            </w:r>
          </w:p>
        </w:tc>
        <w:tc>
          <w:tcPr>
            <w:tcW w:type="dxa" w:w="1187"/>
          </w:tcPr>
          <w:p>
            <w:pPr>
              <w:pStyle w:val="null3"/>
              <w:jc w:val="right"/>
            </w:pPr>
            <w:r>
              <w:rPr/>
              <w:t>1,000,000.00</w:t>
            </w:r>
          </w:p>
        </w:tc>
        <w:tc>
          <w:tcPr>
            <w:tcW w:type="dxa" w:w="1187"/>
          </w:tcPr>
          <w:p>
            <w:pPr>
              <w:pStyle w:val="null3"/>
              <w:jc w:val="left"/>
            </w:pPr>
            <w:r>
              <w:rPr/>
              <w:t>项</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ind w:firstLine="960"/>
        <w:jc w:val="left"/>
      </w:pPr>
      <w:r>
        <w:rPr/>
        <w:t>6.3是否接受联合体形式的响应磋商：</w:t>
      </w:r>
    </w:p>
    <w:p>
      <w:pPr>
        <w:pStyle w:val="null3"/>
        <w:ind w:firstLine="960"/>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宁德市交通运输局</w:t>
      </w:r>
    </w:p>
    <w:p>
      <w:pPr>
        <w:pStyle w:val="null3"/>
        <w:ind w:firstLine="960"/>
        <w:jc w:val="left"/>
      </w:pPr>
      <w:r>
        <w:rPr/>
        <w:t xml:space="preserve"> 地址： </w:t>
      </w:r>
      <w:r>
        <w:rPr/>
        <w:t>宁德市蕉城北大路30号</w:t>
      </w:r>
    </w:p>
    <w:p>
      <w:pPr>
        <w:pStyle w:val="null3"/>
        <w:jc w:val="left"/>
      </w:pPr>
      <w:r>
        <w:rPr/>
        <w:t xml:space="preserve"> 邮编： </w:t>
      </w:r>
      <w:r>
        <w:rPr/>
        <w:t>352100</w:t>
      </w:r>
    </w:p>
    <w:p>
      <w:pPr>
        <w:pStyle w:val="null3"/>
        <w:jc w:val="left"/>
      </w:pPr>
      <w:r>
        <w:rPr/>
        <w:t xml:space="preserve"> 联系人： </w:t>
      </w:r>
      <w:r>
        <w:rPr/>
        <w:t>朱敏</w:t>
      </w:r>
    </w:p>
    <w:p>
      <w:pPr>
        <w:pStyle w:val="null3"/>
        <w:jc w:val="left"/>
      </w:pPr>
      <w:r>
        <w:rPr/>
        <w:t xml:space="preserve"> 联系电话： </w:t>
      </w:r>
      <w:r>
        <w:rPr/>
        <w:t>15159309010</w:t>
      </w:r>
    </w:p>
    <w:p>
      <w:pPr>
        <w:pStyle w:val="null3"/>
        <w:ind w:firstLine="480"/>
        <w:jc w:val="left"/>
        <w:outlineLvl w:val="2"/>
      </w:pPr>
      <w:r>
        <w:rPr>
          <w:b/>
          <w:sz w:val="28"/>
        </w:rPr>
        <w:t>14、代理机构</w:t>
      </w:r>
      <w:r>
        <w:rPr>
          <w:b/>
          <w:sz w:val="28"/>
        </w:rPr>
        <w:t>：</w:t>
      </w:r>
      <w:r>
        <w:rPr>
          <w:b/>
          <w:sz w:val="28"/>
        </w:rPr>
        <w:t>中宸泓（福建）工程项目管理有限公司</w:t>
      </w:r>
    </w:p>
    <w:p>
      <w:pPr>
        <w:pStyle w:val="null3"/>
        <w:ind w:firstLine="960"/>
        <w:jc w:val="left"/>
      </w:pPr>
      <w:r>
        <w:rPr/>
        <w:t xml:space="preserve"> 地址： </w:t>
      </w:r>
      <w:r>
        <w:rPr/>
        <w:t>福建省宁德市东侨经济开发区天湖东路9号金城花苑3幢3梯3-F室</w:t>
      </w:r>
    </w:p>
    <w:p>
      <w:pPr>
        <w:pStyle w:val="null3"/>
        <w:jc w:val="left"/>
      </w:pPr>
      <w:r>
        <w:rPr/>
        <w:t xml:space="preserve"> 邮编： </w:t>
      </w:r>
      <w:r>
        <w:rPr/>
        <w:t>352100</w:t>
      </w:r>
    </w:p>
    <w:p>
      <w:pPr>
        <w:pStyle w:val="null3"/>
        <w:jc w:val="left"/>
      </w:pPr>
      <w:r>
        <w:rPr/>
        <w:t xml:space="preserve"> 联系人： </w:t>
      </w:r>
      <w:r>
        <w:rPr/>
        <w:t>范玉莹</w:t>
      </w:r>
    </w:p>
    <w:p>
      <w:pPr>
        <w:pStyle w:val="null3"/>
        <w:jc w:val="left"/>
      </w:pPr>
      <w:r>
        <w:rPr/>
        <w:t xml:space="preserve"> 联系电话： </w:t>
      </w:r>
      <w:r>
        <w:rPr/>
        <w:t>18344936515</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中宸泓（福建）工程项目管理有限公司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br/>
        <w:br w:type="page"/>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 xml:space="preserve"> （1）资格证明文件资料要求：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2553"/>
                  <w:gridSpan w:val="2"/>
                </w:tcPr>
                <w:p>
                  <w:pPr>
                    <w:pStyle w:val="null3"/>
                    <w:jc w:val="left"/>
                  </w:pPr>
                  <w:r>
                    <w:rPr/>
                    <w:t xml:space="preserve"> 无</w:t>
                  </w:r>
                </w:p>
              </w:tc>
            </w:tr>
          </w:tbl>
          <w:p>
            <w:pPr>
              <w:pStyle w:val="null3"/>
              <w:jc w:val="left"/>
            </w:pPr>
            <w:r>
              <w:rPr/>
              <w:t xml:space="preserve"> （3）磋商保证金</w:t>
            </w:r>
          </w:p>
          <w:p>
            <w:pPr>
              <w:pStyle w:val="null3"/>
              <w:jc w:val="left"/>
            </w:pPr>
            <w:r>
              <w:rPr/>
              <w:t xml:space="preserve"> ※备注说明</w:t>
            </w:r>
          </w:p>
          <w:p>
            <w:pPr>
              <w:pStyle w:val="null3"/>
              <w:jc w:val="left"/>
            </w:pPr>
            <w:r>
              <w:rPr/>
              <w:t xml:space="preserve"> ①供应商应根据自身实际情况提供上述资格要求的证明材料，格式可参考磋商文件第五章提供。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(1)磋商小组将按照规定对各供应商的响应文件采用相同的程序和标准进行评价和比较，并邀请通过资格及符合性审查的合格供应商进行磋商。(2)所有合格的供应商均可进行磋商并进行最后报价。磋商小组确定成交候选人时以最后报价为准，最后报价不能高于第一次报价，最后报价若高于第一次报价应以其第一次报价为准。（3）根据《政府采购非招标采购方式管理办法》（财政部令第74号）第三十三条规定，未在规定时间内进行最后报价的供应商，按无效投标处理。</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无。</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宁德市政府采购监督管理办公室</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本项目招标代理服务费按16500元收取。2、采购代理服务费收取方式：①采购人按规定的标准一次性向采购代理机构缴清采购代理服务费。采购代理服务费以银行转账、电汇、汇票或现金等付款方式。②采购代理服务费缴交银行帐号： 开户名：中宸泓（福建)工程项目管理有限公司 开户行： 中国银行股份有限公司宁德东湖支行行 帐号： 429979980916</w:t>
            </w:r>
          </w:p>
          <w:p>
            <w:pPr>
              <w:pStyle w:val="null3"/>
              <w:jc w:val="left"/>
            </w:pPr>
            <w:r>
              <w:rPr/>
              <w:t xml:space="preserve"> (2)其他：</w:t>
            </w:r>
          </w:p>
          <w:p>
            <w:pPr>
              <w:pStyle w:val="null3"/>
              <w:jc w:val="left"/>
            </w:pPr>
            <w:r>
              <w:rPr/>
              <w:t>2.1本项目采购包1预算金额（最高限价）为1000000元，供应商超过最高限价的报价为无效报价。根据《中华人民共和国价格法》第六条、第十八条规定，供应商依法有权自主制定属于市场调节的价格，有权根据企业的生产经营成本等自身情况和市场供求状况等外部因素自主定价。 2.2实质性要求和条件： 2.2.1信用记录查询及使用： (1)信用记录查询渠道及截止时点：采购代理机构将在首次响应文件递交截止时间截止后，磋商工作结束前，通过“信用中国”网站(www.creditchina.gov.cn)、中国政府采购网(www.ccgp.gov.cn)查询供应商的信用记录。 (2)信用信息查询记录和证据留存的具体方式：采购代理机构将记录、打印各供应商的信用信息查询结果，与其他采购文件一并保存。 (3)信用信息的使用规则：依据《财政部关于在政府采购活动中查询及使用信用记录有关问题的通知》财库〔2016〕125号规定，对被列入失信被执行人、重大税收违法案件当事人名单、政府采购严重违法失信行为记录名单的供应商有下列情形之一，其响应文件在资格性审查中将被磋商小组视为无效报价：①被列入“信用中国”网站(www.creditchina.gov.cn)中政府采购严重违法失信名单的；②被列入中国政府采购网(www.ccgp.gov.cn)中政府采购严重违法失信行为信息记录的；③属于《政府采购法》第二十二条的“重大违法记录”。 2.2.2无效响应及废标条款：以下为可能导致无效响应或废标的条款，具体内容详见磋商文件各章节，请各供应商认真查看对照。(1)报价不符合供应商须知前附表第14项号2.1条款规定的。(2)不符合供应商须知前附表第14项号2.2条款规定的。(3)出现“评审的标准和方法”无效响应规定的。(4)出现第二章竞争性磋商须知无效响应规定的。(5)出现第三章采购内容及要求无效响应规定的。(6)明显不符合技术要求的为无效响应。(7)内容不全或关键字迹模糊、无法辨认的为无效响应。 2.3根据《政府采购质疑和投诉办法》(财政部令第94号)第十六条的规定：对采购过程、中标或者成交结果提出的质疑，合格供 应商符合法定数量时，可以从合格的中标或者成交候选人中另行确定中标、成交供 应商的，应当依法另行确定中标、成交供 应商；否则应当重新开展采购活动。 2.4质疑与投诉 2.4.1质疑 2.4.1.1根据《政府采购质疑和投诉办法》(财政部令第94号)第十条规定，供 应商认为采购文件、采购过程、中标或者成交结果使自己的权益受到损害的，可以在知道或者应知其权益受到损害之日起7个工作日内，以书面形式向采购人、采购代理机构提出质疑。根据《中华人民共和国政府采购法实施条例》第五十三条规定，政府采购法第五十二条规定的供 应商应知其权益受到损害之日，是指：(1)对可以质疑的采购文件提出质疑的，为收到采购文件之日或者采购文件公告期限届满之日；(2)对采购过程提出质疑的，为各采购程序环节结束之日；(3)对成交结果提出质疑的，为成交结果公告期限届满之日。2.4.1.2供 应商在法定质疑期内须一次性提出针对同一采购程序环节的质疑。2.4.1.3接收质疑函的方式、联系部门、联系电话和通讯地址(1)接收质疑函的方式：现场方式；(2)接收质疑函的联系部门：办公室；(3)接收质疑函的联系电话：18344936515；(4)接收质疑函的通讯地址：福建省宁德市东侨经济开发区天湖东路9号金城花苑3幢3梯3-F室。 2.4.2投诉 2.4.2.1根据《政府采购质疑和投诉办法》(财政部令第94号)第十八条规定，“投诉人投诉时,应当提交投诉书和必要的证明材料，并按照被投诉采购人、采购代理机构和与投诉事项有关的供 应商数量提供投诉书的副本”。根据《政府采购质疑和投诉办法》(财政部令第94号)第二十条规定，“供 应商投诉的事项不得超出已质疑事项的范围，但基于质疑答复内容提出的投诉事项除外。” 2.5 信用记录指由财政部确定的有关网站提供的相关主体信用信息。信用记录的查询及使用应符合财政部文件（财库[2016]125号）规定</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自中标通知书发出之日起30个日历日内。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无</w:t>
            </w:r>
            <w:r>
              <w:rPr/>
              <w:t>的内容修正为下列内容：</w:t>
            </w:r>
          </w:p>
          <w:p>
            <w:pPr>
              <w:pStyle w:val="null3"/>
              <w:jc w:val="left"/>
            </w:pPr>
            <w:r>
              <w:rPr/>
              <w:t>无</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⑾关于首次响应文件递交截止时间过后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(12)其他：</w:t>
            </w:r>
          </w:p>
          <w:p>
            <w:pPr>
              <w:pStyle w:val="null3"/>
              <w:jc w:val="left"/>
            </w:pPr>
            <w:r>
              <w:rPr/>
              <w:t>无</w:t>
            </w:r>
          </w:p>
          <w:p>
            <w:pPr>
              <w:pStyle w:val="null3"/>
              <w:jc w:val="left"/>
            </w:pPr>
            <w:r>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满分为30.00分</w:t>
      </w:r>
    </w:p>
    <w:p>
      <w:pPr>
        <w:pStyle w:val="null3"/>
        <w:jc w:val="left"/>
      </w:pPr>
      <w:r>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t>技术部分评分PT 满分为61.00分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A1.技术和服务要求响应情况</w:t>
            </w:r>
          </w:p>
        </w:tc>
        <w:tc>
          <w:tcPr>
            <w:tcW w:type="dxa" w:w="831"/>
          </w:tcPr>
          <w:p>
            <w:pPr>
              <w:pStyle w:val="null3"/>
              <w:jc w:val="right"/>
            </w:pPr>
            <w:r>
              <w:rPr/>
              <w:t>36.00</w:t>
            </w:r>
          </w:p>
        </w:tc>
        <w:tc>
          <w:tcPr>
            <w:tcW w:type="dxa" w:w="4153"/>
          </w:tcPr>
          <w:p>
            <w:pPr>
              <w:pStyle w:val="null3"/>
              <w:jc w:val="left"/>
            </w:pPr>
            <w:r>
              <w:rPr/>
              <w:t>根据各供应商对《第三章 采购内容及要求》“二、技术要求”中的各项服务要求的响应承诺情况，由磋商小组进行评议并评分,完全满足招标文件技术和服务要求的，得36分。以“★”标示的内容为不允许负偏离的实质性要求。其他技术指标（共12项），每负偏离一项扣3分，正偏离不加分。</w:t>
            </w:r>
          </w:p>
        </w:tc>
      </w:tr>
      <w:tr>
        <w:tc>
          <w:tcPr>
            <w:tcW w:type="dxa" w:w="3322"/>
          </w:tcPr>
          <w:p>
            <w:pPr>
              <w:pStyle w:val="null3"/>
              <w:jc w:val="left"/>
            </w:pPr>
            <w:r>
              <w:rPr/>
              <w:t>A2.项目背景理解</w:t>
            </w:r>
          </w:p>
        </w:tc>
        <w:tc>
          <w:tcPr>
            <w:tcW w:type="dxa" w:w="831"/>
          </w:tcPr>
          <w:p>
            <w:pPr>
              <w:pStyle w:val="null3"/>
              <w:jc w:val="right"/>
            </w:pPr>
            <w:r>
              <w:rPr/>
              <w:t>3.00</w:t>
            </w:r>
          </w:p>
        </w:tc>
        <w:tc>
          <w:tcPr>
            <w:tcW w:type="dxa" w:w="4153"/>
          </w:tcPr>
          <w:p>
            <w:pPr>
              <w:pStyle w:val="null3"/>
              <w:jc w:val="left"/>
            </w:pPr>
            <w:r>
              <w:rPr/>
              <w:t>根据各供应商对项目的背景、工作目的、目标及工作内容的理解情况，由磋商小组进行评议：理解深刻、描述准确全面、深度详细、可行性及实用性强、非常合理的，得3分；理解较深刻、描述较准确全面、深度一般、可行性及实用性较强、较合理的，得2分；理解一般、描述一般、深度不够、可行性及实用性一般、部分合理的得1分的，得1分；其余不得分。</w:t>
            </w:r>
          </w:p>
        </w:tc>
      </w:tr>
      <w:tr>
        <w:tc>
          <w:tcPr>
            <w:tcW w:type="dxa" w:w="3322"/>
          </w:tcPr>
          <w:p>
            <w:pPr>
              <w:pStyle w:val="null3"/>
              <w:jc w:val="left"/>
            </w:pPr>
            <w:r>
              <w:rPr/>
              <w:t>A3.工作思路及方法</w:t>
            </w:r>
          </w:p>
        </w:tc>
        <w:tc>
          <w:tcPr>
            <w:tcW w:type="dxa" w:w="831"/>
          </w:tcPr>
          <w:p>
            <w:pPr>
              <w:pStyle w:val="null3"/>
              <w:jc w:val="right"/>
            </w:pPr>
            <w:r>
              <w:rPr/>
              <w:t>3.00</w:t>
            </w:r>
          </w:p>
        </w:tc>
        <w:tc>
          <w:tcPr>
            <w:tcW w:type="dxa" w:w="4153"/>
          </w:tcPr>
          <w:p>
            <w:pPr>
              <w:pStyle w:val="null3"/>
              <w:jc w:val="left"/>
            </w:pPr>
            <w:r>
              <w:rPr/>
              <w:t>根据各供应商针对本项目提供的工作思路及方法，由磋商小组进行评议：工作思路清晰，工作方法科学可行、实用性强、非常合理的，得3分；工作思路较清晰，工作方法较科学可行、实用性较强、较合理的，得2分；工作思路较模糊，工作方法较一般、实用性一般、部分合理的，得1分；其余不得分。</w:t>
            </w:r>
          </w:p>
        </w:tc>
      </w:tr>
      <w:tr>
        <w:tc>
          <w:tcPr>
            <w:tcW w:type="dxa" w:w="3322"/>
          </w:tcPr>
          <w:p>
            <w:pPr>
              <w:pStyle w:val="null3"/>
              <w:jc w:val="left"/>
            </w:pPr>
            <w:r>
              <w:rPr/>
              <w:t>A4.进度计划控制措施</w:t>
            </w:r>
          </w:p>
        </w:tc>
        <w:tc>
          <w:tcPr>
            <w:tcW w:type="dxa" w:w="831"/>
          </w:tcPr>
          <w:p>
            <w:pPr>
              <w:pStyle w:val="null3"/>
              <w:jc w:val="right"/>
            </w:pPr>
            <w:r>
              <w:rPr/>
              <w:t>3.00</w:t>
            </w:r>
          </w:p>
        </w:tc>
        <w:tc>
          <w:tcPr>
            <w:tcW w:type="dxa" w:w="4153"/>
          </w:tcPr>
          <w:p>
            <w:pPr>
              <w:pStyle w:val="null3"/>
              <w:jc w:val="left"/>
            </w:pPr>
            <w:r>
              <w:rPr/>
              <w:t>根据各供应商针对本项目提供制定的进度计划措施 ，由磋商小组进行评议：时间进度安排合理、工作进度控制措施可行且有力度的，得3分；时间进度安排比较合理、工作进度控制措施可行，得2分；时间进度安排合理性一般，或工作进度控制措施可行性一般，得1分；没有进度计划安排的不得分。</w:t>
            </w:r>
          </w:p>
        </w:tc>
      </w:tr>
      <w:tr>
        <w:tc>
          <w:tcPr>
            <w:tcW w:type="dxa" w:w="3322"/>
          </w:tcPr>
          <w:p>
            <w:pPr>
              <w:pStyle w:val="null3"/>
              <w:jc w:val="left"/>
            </w:pPr>
            <w:r>
              <w:rPr/>
              <w:t>A5.质量保证措施</w:t>
            </w:r>
          </w:p>
        </w:tc>
        <w:tc>
          <w:tcPr>
            <w:tcW w:type="dxa" w:w="831"/>
          </w:tcPr>
          <w:p>
            <w:pPr>
              <w:pStyle w:val="null3"/>
              <w:jc w:val="right"/>
            </w:pPr>
            <w:r>
              <w:rPr/>
              <w:t>3.00</w:t>
            </w:r>
          </w:p>
        </w:tc>
        <w:tc>
          <w:tcPr>
            <w:tcW w:type="dxa" w:w="4153"/>
          </w:tcPr>
          <w:p>
            <w:pPr>
              <w:pStyle w:val="null3"/>
              <w:jc w:val="left"/>
            </w:pPr>
            <w:r>
              <w:rPr/>
              <w:t>根据各供应商对项目提供的质量保障措施、质量管理体系是否完备周全的情况，由磋商小组进行评议：内容全面、深度详细、可行性及实用性强、非常合理的，得3分；内容较为全面、深度一般、可行性及实用性较强、较合理的，得2分；内容不够全面、深度不够、可行性及实用性一般、部分合理的，得1分；其余不得分。</w:t>
            </w:r>
          </w:p>
        </w:tc>
      </w:tr>
      <w:tr>
        <w:tc>
          <w:tcPr>
            <w:tcW w:type="dxa" w:w="3322"/>
          </w:tcPr>
          <w:p>
            <w:pPr>
              <w:pStyle w:val="null3"/>
              <w:jc w:val="left"/>
            </w:pPr>
            <w:r>
              <w:rPr/>
              <w:t>A6.保密措施情况</w:t>
            </w:r>
          </w:p>
        </w:tc>
        <w:tc>
          <w:tcPr>
            <w:tcW w:type="dxa" w:w="831"/>
          </w:tcPr>
          <w:p>
            <w:pPr>
              <w:pStyle w:val="null3"/>
              <w:jc w:val="right"/>
            </w:pPr>
            <w:r>
              <w:rPr/>
              <w:t>3.00</w:t>
            </w:r>
          </w:p>
        </w:tc>
        <w:tc>
          <w:tcPr>
            <w:tcW w:type="dxa" w:w="4153"/>
          </w:tcPr>
          <w:p>
            <w:pPr>
              <w:pStyle w:val="null3"/>
              <w:jc w:val="left"/>
            </w:pPr>
            <w:r>
              <w:rPr/>
              <w:t>根据各供应商对项目在数据、制度和人员方面的保密措施，由磋商小组进行评议：内容全面合理得3分；内容较为全面、较合理的，得2分；内容不够全面、部分合理的，得1分；其余不得分。</w:t>
            </w:r>
          </w:p>
        </w:tc>
      </w:tr>
      <w:tr>
        <w:tc>
          <w:tcPr>
            <w:tcW w:type="dxa" w:w="3322"/>
          </w:tcPr>
          <w:p>
            <w:pPr>
              <w:pStyle w:val="null3"/>
              <w:jc w:val="left"/>
            </w:pPr>
            <w:r>
              <w:rPr/>
              <w:t>A7.项目负责人</w:t>
            </w:r>
          </w:p>
        </w:tc>
        <w:tc>
          <w:tcPr>
            <w:tcW w:type="dxa" w:w="831"/>
          </w:tcPr>
          <w:p>
            <w:pPr>
              <w:pStyle w:val="null3"/>
              <w:jc w:val="right"/>
            </w:pPr>
            <w:r>
              <w:rPr/>
              <w:t>1.00</w:t>
            </w:r>
          </w:p>
        </w:tc>
        <w:tc>
          <w:tcPr>
            <w:tcW w:type="dxa" w:w="4153"/>
          </w:tcPr>
          <w:p>
            <w:pPr>
              <w:pStyle w:val="null3"/>
              <w:jc w:val="left"/>
            </w:pPr>
            <w:r>
              <w:rPr/>
              <w:t>供应商拟投入本项目的项目负责人具有交通或汽车相关专业技术高级职称的得1分。需提供项目负责人专业技术职称证书及投标人为其缴纳的响应文件递交截止时间前三个月内（不含当月）任意一个月的社保证明材料进行佐证。</w:t>
            </w:r>
          </w:p>
        </w:tc>
      </w:tr>
      <w:tr>
        <w:tc>
          <w:tcPr>
            <w:tcW w:type="dxa" w:w="3322"/>
          </w:tcPr>
          <w:p>
            <w:pPr>
              <w:pStyle w:val="null3"/>
              <w:jc w:val="left"/>
            </w:pPr>
            <w:r>
              <w:rPr/>
              <w:t>A8.项目负责人学术水平</w:t>
            </w:r>
          </w:p>
        </w:tc>
        <w:tc>
          <w:tcPr>
            <w:tcW w:type="dxa" w:w="831"/>
          </w:tcPr>
          <w:p>
            <w:pPr>
              <w:pStyle w:val="null3"/>
              <w:jc w:val="right"/>
            </w:pPr>
            <w:r>
              <w:rPr/>
              <w:t>3.00</w:t>
            </w:r>
          </w:p>
        </w:tc>
        <w:tc>
          <w:tcPr>
            <w:tcW w:type="dxa" w:w="4153"/>
          </w:tcPr>
          <w:p>
            <w:pPr>
              <w:pStyle w:val="null3"/>
              <w:jc w:val="left"/>
            </w:pPr>
            <w:r>
              <w:rPr/>
              <w:t>项目负责人在交通运输领域发表过EI、SCI检索文章且文章内容与本项目采购标的相关的，每篇得1分，否则不得分；本项最高得分3分。需提供文章复印件、或上述刊物、媒体官网截图证明并加盖投标人公章，未按要求提供的不得分。</w:t>
            </w:r>
          </w:p>
        </w:tc>
      </w:tr>
      <w:tr>
        <w:tc>
          <w:tcPr>
            <w:tcW w:type="dxa" w:w="3322"/>
          </w:tcPr>
          <w:p>
            <w:pPr>
              <w:pStyle w:val="null3"/>
              <w:jc w:val="left"/>
            </w:pPr>
            <w:r>
              <w:rPr/>
              <w:t>A9.项目负责人出版书籍</w:t>
            </w:r>
          </w:p>
        </w:tc>
        <w:tc>
          <w:tcPr>
            <w:tcW w:type="dxa" w:w="831"/>
          </w:tcPr>
          <w:p>
            <w:pPr>
              <w:pStyle w:val="null3"/>
              <w:jc w:val="right"/>
            </w:pPr>
            <w:r>
              <w:rPr/>
              <w:t>3.00</w:t>
            </w:r>
          </w:p>
        </w:tc>
        <w:tc>
          <w:tcPr>
            <w:tcW w:type="dxa" w:w="4153"/>
          </w:tcPr>
          <w:p>
            <w:pPr>
              <w:pStyle w:val="null3"/>
              <w:jc w:val="left"/>
            </w:pPr>
            <w:r>
              <w:rPr/>
              <w:t>项目负责人参与出版过交通运输领域相关专业书籍，专著、合著的（书籍内容与本项目采购标的相关）每一本得1分，否则不得分；本项最高得分3分。需提供书籍封面署名页复印件或截图打印件，并加盖投标人公章，未按要求提供的不得分。</w:t>
            </w:r>
          </w:p>
        </w:tc>
      </w:tr>
      <w:tr>
        <w:tc>
          <w:tcPr>
            <w:tcW w:type="dxa" w:w="3322"/>
          </w:tcPr>
          <w:p>
            <w:pPr>
              <w:pStyle w:val="null3"/>
              <w:jc w:val="left"/>
            </w:pPr>
            <w:r>
              <w:rPr/>
              <w:t>A10.项目团队实力</w:t>
            </w:r>
          </w:p>
        </w:tc>
        <w:tc>
          <w:tcPr>
            <w:tcW w:type="dxa" w:w="831"/>
          </w:tcPr>
          <w:p>
            <w:pPr>
              <w:pStyle w:val="null3"/>
              <w:jc w:val="right"/>
            </w:pPr>
            <w:r>
              <w:rPr/>
              <w:t>3.00</w:t>
            </w:r>
          </w:p>
        </w:tc>
        <w:tc>
          <w:tcPr>
            <w:tcW w:type="dxa" w:w="4153"/>
          </w:tcPr>
          <w:p>
            <w:pPr>
              <w:pStyle w:val="null3"/>
              <w:jc w:val="left"/>
            </w:pPr>
            <w:r>
              <w:rPr/>
              <w:t>供应商拟投入本项目的团队成员（项目负责人除外）具有专业技术高级职称且专业和本项目采购标的相关的，每提供一人得1分；本项最高3分。提供职称证书复印件及投标人为其缴纳的响应文件递交截止时间前三个月内（不含当月）任意一个月的社保证明材料进行佐证。</w:t>
            </w:r>
          </w:p>
        </w:tc>
      </w:tr>
    </w:tbl>
    <w:p>
      <w:pPr>
        <w:pStyle w:val="null3"/>
        <w:jc w:val="left"/>
      </w:pPr>
      <w:r>
        <w:rPr/>
        <w:t>商务部分评分PB 满分为9.00分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B1.综合实力1</w:t>
            </w:r>
          </w:p>
        </w:tc>
        <w:tc>
          <w:tcPr>
            <w:tcW w:type="dxa" w:w="831"/>
          </w:tcPr>
          <w:p>
            <w:pPr>
              <w:pStyle w:val="null3"/>
              <w:jc w:val="right"/>
            </w:pPr>
            <w:r>
              <w:rPr/>
              <w:t>3.00</w:t>
            </w:r>
          </w:p>
        </w:tc>
        <w:tc>
          <w:tcPr>
            <w:tcW w:type="dxa" w:w="4153"/>
          </w:tcPr>
          <w:p>
            <w:pPr>
              <w:pStyle w:val="null3"/>
              <w:jc w:val="left"/>
            </w:pPr>
            <w:r>
              <w:rPr/>
              <w:t>供应商承担“十四五”综合交通运输体系发展规划等规划文件前期研究工作的得 3分。(提供委托合同或任务书复印件进行佐证)</w:t>
            </w:r>
          </w:p>
        </w:tc>
      </w:tr>
      <w:tr>
        <w:tc>
          <w:tcPr>
            <w:tcW w:type="dxa" w:w="3322"/>
          </w:tcPr>
          <w:p>
            <w:pPr>
              <w:pStyle w:val="null3"/>
              <w:jc w:val="left"/>
            </w:pPr>
            <w:r>
              <w:rPr/>
              <w:t>B2.综合实力2</w:t>
            </w:r>
          </w:p>
        </w:tc>
        <w:tc>
          <w:tcPr>
            <w:tcW w:type="dxa" w:w="831"/>
          </w:tcPr>
          <w:p>
            <w:pPr>
              <w:pStyle w:val="null3"/>
              <w:jc w:val="right"/>
            </w:pPr>
            <w:r>
              <w:rPr/>
              <w:t>3.00</w:t>
            </w:r>
          </w:p>
        </w:tc>
        <w:tc>
          <w:tcPr>
            <w:tcW w:type="dxa" w:w="4153"/>
          </w:tcPr>
          <w:p>
            <w:pPr>
              <w:pStyle w:val="null3"/>
              <w:jc w:val="left"/>
            </w:pPr>
            <w:r>
              <w:rPr/>
              <w:t>供应商承担过市及以上交通运输管理部门委托的交通运输类项目的，每提供一项得1.5分，满分3分。(提供合同复印件进行佐证)（本项与其他项不重复得分）</w:t>
            </w:r>
          </w:p>
        </w:tc>
      </w:tr>
      <w:tr>
        <w:tc>
          <w:tcPr>
            <w:tcW w:type="dxa" w:w="3322"/>
          </w:tcPr>
          <w:p>
            <w:pPr>
              <w:pStyle w:val="null3"/>
              <w:jc w:val="left"/>
            </w:pPr>
            <w:r>
              <w:rPr/>
              <w:t>B3.综合实力3</w:t>
            </w:r>
          </w:p>
        </w:tc>
        <w:tc>
          <w:tcPr>
            <w:tcW w:type="dxa" w:w="831"/>
          </w:tcPr>
          <w:p>
            <w:pPr>
              <w:pStyle w:val="null3"/>
              <w:jc w:val="right"/>
            </w:pPr>
            <w:r>
              <w:rPr/>
              <w:t>3.00</w:t>
            </w:r>
          </w:p>
        </w:tc>
        <w:tc>
          <w:tcPr>
            <w:tcW w:type="dxa" w:w="4153"/>
          </w:tcPr>
          <w:p>
            <w:pPr>
              <w:pStyle w:val="null3"/>
              <w:jc w:val="left"/>
            </w:pPr>
            <w:r>
              <w:rPr/>
              <w:t>供应商承接过交通运输部“交通强国试点单位”的得3分。提供相关证明材料进行佐证。</w:t>
            </w:r>
          </w:p>
        </w:tc>
      </w:tr>
    </w:tbl>
    <w:p>
      <w:pPr>
        <w:pStyle w:val="null3"/>
        <w:jc w:val="left"/>
      </w:pPr>
      <w:r>
        <w:rPr/>
        <w:t>根据政府采购政策可享有的加分优惠评分PE</w:t>
      </w:r>
    </w:p>
    <w:p>
      <w:pPr>
        <w:pStyle w:val="null3"/>
        <w:jc w:val="left"/>
      </w:pPr>
      <w:r>
        <w:rPr/>
        <w:t>优先类节能产品、环境标志产品：无</w:t>
      </w:r>
    </w:p>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无。</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1、响应文件未按照磋商文件规定要求签署、盖章的；</w:t>
            </w:r>
          </w:p>
        </w:tc>
      </w:tr>
      <w:tr>
        <w:tc>
          <w:tcPr>
            <w:tcW w:type="dxa" w:w="4153"/>
          </w:tcPr>
          <w:p>
            <w:pPr>
              <w:pStyle w:val="null3"/>
              <w:jc w:val="left"/>
            </w:pPr>
            <w:r>
              <w:rPr/>
              <w:t>其他情形</w:t>
            </w:r>
          </w:p>
        </w:tc>
        <w:tc>
          <w:tcPr>
            <w:tcW w:type="dxa" w:w="4153"/>
          </w:tcPr>
          <w:p>
            <w:pPr>
              <w:pStyle w:val="null3"/>
              <w:jc w:val="left"/>
            </w:pPr>
            <w:r>
              <w:rPr/>
              <w:t>2、属于磋商文件规定磋商小组应否决其投标的情形；</w:t>
            </w:r>
          </w:p>
        </w:tc>
      </w:tr>
      <w:tr>
        <w:tc>
          <w:tcPr>
            <w:tcW w:type="dxa" w:w="4153"/>
          </w:tcPr>
          <w:p>
            <w:pPr>
              <w:pStyle w:val="null3"/>
              <w:jc w:val="left"/>
            </w:pPr>
            <w:r>
              <w:rPr/>
              <w:t>其他情形</w:t>
            </w:r>
          </w:p>
        </w:tc>
        <w:tc>
          <w:tcPr>
            <w:tcW w:type="dxa" w:w="4153"/>
          </w:tcPr>
          <w:p>
            <w:pPr>
              <w:pStyle w:val="null3"/>
              <w:jc w:val="left"/>
            </w:pPr>
            <w:r>
              <w:rPr/>
              <w:t>3、不符合磋商文件中规定的实质性要求和条件；</w:t>
            </w:r>
          </w:p>
        </w:tc>
      </w:tr>
      <w:tr>
        <w:tc>
          <w:tcPr>
            <w:tcW w:type="dxa" w:w="4153"/>
          </w:tcPr>
          <w:p>
            <w:pPr>
              <w:pStyle w:val="null3"/>
              <w:jc w:val="left"/>
            </w:pPr>
            <w:r>
              <w:rPr/>
              <w:t>其他情形</w:t>
            </w:r>
          </w:p>
        </w:tc>
        <w:tc>
          <w:tcPr>
            <w:tcW w:type="dxa" w:w="4153"/>
          </w:tcPr>
          <w:p>
            <w:pPr>
              <w:pStyle w:val="null3"/>
              <w:jc w:val="left"/>
            </w:pPr>
            <w:r>
              <w:rPr/>
              <w:t>4、属于磋商文件中规定的无效响应条款的；</w:t>
            </w:r>
          </w:p>
        </w:tc>
      </w:tr>
      <w:tr>
        <w:tc>
          <w:tcPr>
            <w:tcW w:type="dxa" w:w="4153"/>
          </w:tcPr>
          <w:p>
            <w:pPr>
              <w:pStyle w:val="null3"/>
              <w:jc w:val="left"/>
            </w:pPr>
            <w:r>
              <w:rPr/>
              <w:t>其他情形</w:t>
            </w:r>
          </w:p>
        </w:tc>
        <w:tc>
          <w:tcPr>
            <w:tcW w:type="dxa" w:w="4153"/>
          </w:tcPr>
          <w:p>
            <w:pPr>
              <w:pStyle w:val="null3"/>
              <w:jc w:val="left"/>
            </w:pPr>
            <w:r>
              <w:rPr/>
              <w:t>5、技术部分实际得分低于技术部分总分值50%的视为无效投标。</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1、响应文件未按照磋商文件规定要求签署、盖章的；</w:t>
            </w:r>
          </w:p>
        </w:tc>
      </w:tr>
      <w:tr>
        <w:tc>
          <w:tcPr>
            <w:tcW w:type="dxa" w:w="4153"/>
          </w:tcPr>
          <w:p>
            <w:pPr>
              <w:pStyle w:val="null3"/>
              <w:jc w:val="left"/>
            </w:pPr>
            <w:r>
              <w:rPr/>
              <w:t>其他情形</w:t>
            </w:r>
          </w:p>
        </w:tc>
        <w:tc>
          <w:tcPr>
            <w:tcW w:type="dxa" w:w="4153"/>
          </w:tcPr>
          <w:p>
            <w:pPr>
              <w:pStyle w:val="null3"/>
              <w:jc w:val="left"/>
            </w:pPr>
            <w:r>
              <w:rPr/>
              <w:t>2、响应文件载明的招标项目交付时间超过磋商文件规定或未载明招标项目交付时间的；</w:t>
            </w:r>
          </w:p>
        </w:tc>
      </w:tr>
      <w:tr>
        <w:tc>
          <w:tcPr>
            <w:tcW w:type="dxa" w:w="4153"/>
          </w:tcPr>
          <w:p>
            <w:pPr>
              <w:pStyle w:val="null3"/>
              <w:jc w:val="left"/>
            </w:pPr>
            <w:r>
              <w:rPr/>
              <w:t>其他情形</w:t>
            </w:r>
          </w:p>
        </w:tc>
        <w:tc>
          <w:tcPr>
            <w:tcW w:type="dxa" w:w="4153"/>
          </w:tcPr>
          <w:p>
            <w:pPr>
              <w:pStyle w:val="null3"/>
              <w:jc w:val="left"/>
            </w:pPr>
            <w:r>
              <w:rPr/>
              <w:t>3、属于磋商文件规定磋商小组应否决其投标的情形；</w:t>
            </w:r>
          </w:p>
        </w:tc>
      </w:tr>
      <w:tr>
        <w:tc>
          <w:tcPr>
            <w:tcW w:type="dxa" w:w="4153"/>
          </w:tcPr>
          <w:p>
            <w:pPr>
              <w:pStyle w:val="null3"/>
              <w:jc w:val="left"/>
            </w:pPr>
            <w:r>
              <w:rPr/>
              <w:t>其他情形</w:t>
            </w:r>
          </w:p>
        </w:tc>
        <w:tc>
          <w:tcPr>
            <w:tcW w:type="dxa" w:w="4153"/>
          </w:tcPr>
          <w:p>
            <w:pPr>
              <w:pStyle w:val="null3"/>
              <w:jc w:val="left"/>
            </w:pPr>
            <w:r>
              <w:rPr/>
              <w:t>4、不符合磋商文件中规定的实质性要求和条件；</w:t>
            </w:r>
          </w:p>
        </w:tc>
      </w:tr>
      <w:tr>
        <w:tc>
          <w:tcPr>
            <w:tcW w:type="dxa" w:w="4153"/>
          </w:tcPr>
          <w:p>
            <w:pPr>
              <w:pStyle w:val="null3"/>
              <w:jc w:val="left"/>
            </w:pPr>
            <w:r>
              <w:rPr/>
              <w:t>其他情形</w:t>
            </w:r>
          </w:p>
        </w:tc>
        <w:tc>
          <w:tcPr>
            <w:tcW w:type="dxa" w:w="4153"/>
          </w:tcPr>
          <w:p>
            <w:pPr>
              <w:pStyle w:val="null3"/>
              <w:jc w:val="left"/>
            </w:pPr>
            <w:r>
              <w:rPr/>
              <w:t>5、属于磋商文件中规定的无效响应条款的；</w:t>
            </w:r>
          </w:p>
        </w:tc>
      </w:tr>
      <w:tr>
        <w:tc>
          <w:tcPr>
            <w:tcW w:type="dxa" w:w="4153"/>
          </w:tcPr>
          <w:p>
            <w:pPr>
              <w:pStyle w:val="null3"/>
              <w:jc w:val="left"/>
            </w:pPr>
            <w:r>
              <w:rPr/>
              <w:t>其他情形</w:t>
            </w:r>
          </w:p>
        </w:tc>
        <w:tc>
          <w:tcPr>
            <w:tcW w:type="dxa" w:w="4153"/>
          </w:tcPr>
          <w:p>
            <w:pPr>
              <w:pStyle w:val="null3"/>
              <w:jc w:val="left"/>
            </w:pPr>
            <w:r>
              <w:rPr/>
              <w:t>6、交付地点、交付时间、交付条件、支付方式等商务条件不满足磋商文件要求的。</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b/>
          <w:sz w:val="28"/>
        </w:rPr>
        <w:t>五、合同授予</w:t>
      </w:r>
    </w:p>
    <w:p>
      <w:pPr>
        <w:pStyle w:val="null3"/>
      </w:pPr>
      <w:r>
        <w:rPr/>
        <w:t xml:space="preserve"> </w:t>
        <w:br/>
        <w:br w:type="page"/>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r>
        <w:rPr>
          <w:rFonts w:ascii="宋体" w:hAnsi="宋体" w:cs="宋体" w:eastAsia="宋体"/>
          <w:color w:val="000000"/>
          <w:sz w:val="24"/>
          <w:shd w:fill="FFFFFF" w:val="clear"/>
        </w:rPr>
        <w:t>宁德市位于福建省东北沿海，地处温暖湿润的亚热带气候区，拥有得天独厚的自然资源和优越的区位条件：处于东海之滨，拥有丰富的海洋资源和优越的港口条件。拥有福鼎、福安两个国家一类开放口岸，可以便捷地与海上贸易往来，开展国际物流业务。宁德市位于福建省东北部，处于闽南、闽东、闽北三个城市群的交汇点，地理位置十分重要。可以辐射龙岩、南平、宁波、温州、台州等周边城市，形成较为完善的区域物流网络。宁德市交通网络发达，拥有福建省重要的交通干线福州</w:t>
      </w:r>
      <w:r>
        <w:rPr>
          <w:rFonts w:ascii="宋体" w:hAnsi="宋体" w:cs="宋体" w:eastAsia="宋体"/>
          <w:color w:val="000000"/>
          <w:sz w:val="24"/>
          <w:shd w:fill="FFFFFF" w:val="clear"/>
        </w:rPr>
        <w:t>-宁德高速公路和厦门-宁德高速公路，连接福州和厦门两座重要城市。此外，还有福建省内的S214、S309、S202等省道和宁波-龙岩高速公路等连接周边地区的重要交通线路。此外，宁德还发展了新能源、新材料、新一代信息技术等产业，为物流业提供了广阔的发展空间。宁德市作为福建省重点发展的沿海经济开放区之一，经济发展潜力巨大。近年来，宁德市发展壮大了新兴产业，尤其是新能源汽车、光伏产业等，吸引了大量的投资和企业落户，为物流业带来了巨大需求。随着经济的快速发展和城市化进程的推进，物流作为城市城市经济发展的重要支撑，其作用愈加重要。</w:t>
      </w:r>
    </w:p>
    <w:p>
      <w:pPr>
        <w:pStyle w:val="null3"/>
        <w:spacing w:before="195"/>
        <w:ind w:firstLine="480"/>
        <w:jc w:val="both"/>
      </w:pPr>
      <w:r>
        <w:rPr>
          <w:rFonts w:ascii="宋体" w:hAnsi="宋体" w:cs="宋体" w:eastAsia="宋体"/>
          <w:color w:val="000000"/>
          <w:sz w:val="24"/>
          <w:shd w:fill="FFFFFF" w:val="clear"/>
        </w:rPr>
        <w:t>物流作为连接生产、流通、消费等环节的重要环节，物流规划有助于提高宁德物流效率和服务水平，降低物流成本，促进居民消费和企业投资，推动经济发展。通过合理布局物流设施和交通路网，提高城市运行效率，减少交通拥堵和物流堵点，改善居民出行和物流配送的条件，提升城市可持续发展能力。通过物流规划，可以为宁德市的产业发展提供支撑和保障。合理规划物流网络，降本增效的同时提升产业竞争力，吸引更多的企业落户，推动产业结构优化升级。通过绿色物流、多式联运等方式，推动宁德市物流向低碳、高效、环保的方向发展。</w:t>
      </w:r>
    </w:p>
    <w:p>
      <w:pPr>
        <w:pStyle w:val="null3"/>
        <w:spacing w:before="195"/>
        <w:ind w:firstLine="480"/>
        <w:jc w:val="both"/>
      </w:pPr>
      <w:r>
        <w:rPr>
          <w:rFonts w:ascii="宋体" w:hAnsi="宋体" w:cs="宋体" w:eastAsia="宋体"/>
          <w:color w:val="000000"/>
          <w:sz w:val="24"/>
          <w:shd w:fill="FFFFFF" w:val="clear"/>
        </w:rPr>
        <w:t>综上所述，宁德市进行物流规划具有重要的背景和意义，对促进经济发展、优化城市运行、保障社会供应、提升产业竞争力、优化资源配置、促进区域协调发展和推动城市智能化都具有积极的作用。</w:t>
      </w:r>
    </w:p>
    <w:p>
      <w:pPr>
        <w:pStyle w:val="null3"/>
        <w:jc w:val="left"/>
        <w:outlineLvl w:val="2"/>
      </w:pPr>
      <w:r>
        <w:rPr>
          <w:b/>
          <w:sz w:val="28"/>
        </w:rPr>
        <w:t>二、技术要求</w:t>
      </w:r>
    </w:p>
    <w:p>
      <w:pPr>
        <w:pStyle w:val="null3"/>
        <w:jc w:val="left"/>
      </w:pPr>
      <w:r>
        <w:rPr>
          <w:rFonts w:ascii="宋体" w:hAnsi="宋体" w:cs="宋体" w:eastAsia="宋体"/>
          <w:b/>
          <w:sz w:val="24"/>
        </w:rPr>
        <w:t>★</w:t>
      </w:r>
      <w:r>
        <w:rPr>
          <w:rFonts w:ascii="宋体" w:hAnsi="宋体" w:cs="宋体" w:eastAsia="宋体"/>
          <w:sz w:val="24"/>
          <w:shd w:fill="FFFFFF" w:val="clear"/>
        </w:rPr>
        <w:t>深入调查分析</w:t>
      </w:r>
      <w:r>
        <w:rPr>
          <w:rFonts w:ascii="宋体" w:hAnsi="宋体" w:cs="宋体" w:eastAsia="宋体"/>
          <w:sz w:val="24"/>
          <w:shd w:fill="FFFFFF" w:val="clear"/>
        </w:rPr>
        <w:t>宁德</w:t>
      </w:r>
      <w:r>
        <w:rPr>
          <w:rFonts w:ascii="宋体" w:hAnsi="宋体" w:cs="宋体" w:eastAsia="宋体"/>
          <w:sz w:val="24"/>
          <w:shd w:fill="FFFFFF" w:val="clear"/>
        </w:rPr>
        <w:t>市</w:t>
      </w:r>
      <w:r>
        <w:rPr>
          <w:rFonts w:ascii="宋体" w:hAnsi="宋体" w:cs="宋体" w:eastAsia="宋体"/>
          <w:sz w:val="24"/>
          <w:shd w:fill="FFFFFF" w:val="clear"/>
        </w:rPr>
        <w:t>综合</w:t>
      </w:r>
      <w:r>
        <w:rPr>
          <w:rFonts w:ascii="宋体" w:hAnsi="宋体" w:cs="宋体" w:eastAsia="宋体"/>
          <w:sz w:val="24"/>
          <w:shd w:fill="FFFFFF" w:val="clear"/>
        </w:rPr>
        <w:t>交通运输和物流业发展现状</w:t>
      </w:r>
      <w:r>
        <w:rPr>
          <w:rFonts w:ascii="宋体" w:hAnsi="宋体" w:cs="宋体" w:eastAsia="宋体"/>
          <w:sz w:val="24"/>
          <w:shd w:fill="FFFFFF" w:val="clear"/>
        </w:rPr>
        <w:t>，</w:t>
      </w:r>
      <w:r>
        <w:rPr>
          <w:rFonts w:ascii="宋体" w:hAnsi="宋体" w:cs="宋体" w:eastAsia="宋体"/>
          <w:sz w:val="24"/>
          <w:shd w:fill="FFFFFF" w:val="clear"/>
        </w:rPr>
        <w:t>剖析物流系统</w:t>
      </w:r>
      <w:r>
        <w:rPr>
          <w:rFonts w:ascii="宋体" w:hAnsi="宋体" w:cs="宋体" w:eastAsia="宋体"/>
          <w:sz w:val="24"/>
          <w:shd w:fill="FFFFFF" w:val="clear"/>
        </w:rPr>
        <w:t>存在</w:t>
      </w:r>
      <w:r>
        <w:rPr>
          <w:rFonts w:ascii="宋体" w:hAnsi="宋体" w:cs="宋体" w:eastAsia="宋体"/>
          <w:sz w:val="24"/>
          <w:shd w:fill="FFFFFF" w:val="clear"/>
        </w:rPr>
        <w:t>的</w:t>
      </w:r>
      <w:r>
        <w:rPr>
          <w:rFonts w:ascii="宋体" w:hAnsi="宋体" w:cs="宋体" w:eastAsia="宋体"/>
          <w:sz w:val="24"/>
          <w:shd w:fill="FFFFFF" w:val="clear"/>
        </w:rPr>
        <w:t>问题，充分对接国家和区域发展需求，</w:t>
      </w:r>
      <w:r>
        <w:rPr>
          <w:rFonts w:ascii="宋体" w:hAnsi="宋体" w:cs="宋体" w:eastAsia="宋体"/>
          <w:sz w:val="24"/>
          <w:shd w:fill="FFFFFF" w:val="clear"/>
        </w:rPr>
        <w:t>全面</w:t>
      </w:r>
      <w:r>
        <w:rPr>
          <w:rFonts w:ascii="宋体" w:hAnsi="宋体" w:cs="宋体" w:eastAsia="宋体"/>
          <w:sz w:val="24"/>
          <w:shd w:fill="FFFFFF" w:val="clear"/>
        </w:rPr>
        <w:t>研判</w:t>
      </w:r>
      <w:r>
        <w:rPr>
          <w:rFonts w:ascii="宋体" w:hAnsi="宋体" w:cs="宋体" w:eastAsia="宋体"/>
          <w:sz w:val="24"/>
          <w:shd w:fill="FFFFFF" w:val="clear"/>
        </w:rPr>
        <w:t>宁德</w:t>
      </w:r>
      <w:r>
        <w:rPr>
          <w:rFonts w:ascii="宋体" w:hAnsi="宋体" w:cs="宋体" w:eastAsia="宋体"/>
          <w:sz w:val="24"/>
          <w:shd w:fill="FFFFFF" w:val="clear"/>
        </w:rPr>
        <w:t>市经济社会发展形势和货物运输需求，结合市交通运输局职能，研究提出未来</w:t>
      </w:r>
      <w:r>
        <w:rPr>
          <w:rFonts w:ascii="宋体" w:hAnsi="宋体" w:cs="宋体" w:eastAsia="宋体"/>
          <w:sz w:val="24"/>
          <w:shd w:fill="FFFFFF" w:val="clear"/>
        </w:rPr>
        <w:t>10年</w:t>
      </w:r>
      <w:r>
        <w:rPr>
          <w:rFonts w:ascii="宋体" w:hAnsi="宋体" w:cs="宋体" w:eastAsia="宋体"/>
          <w:sz w:val="24"/>
          <w:shd w:fill="FFFFFF" w:val="clear"/>
        </w:rPr>
        <w:t>宁德</w:t>
      </w:r>
      <w:r>
        <w:rPr>
          <w:rFonts w:ascii="宋体" w:hAnsi="宋体" w:cs="宋体" w:eastAsia="宋体"/>
          <w:sz w:val="24"/>
          <w:shd w:fill="FFFFFF" w:val="clear"/>
        </w:rPr>
        <w:t>市推进物流业高质量发展</w:t>
      </w:r>
      <w:r>
        <w:rPr>
          <w:rFonts w:ascii="宋体" w:hAnsi="宋体" w:cs="宋体" w:eastAsia="宋体"/>
          <w:sz w:val="24"/>
          <w:shd w:fill="FFFFFF" w:val="clear"/>
        </w:rPr>
        <w:t>路径与措施</w:t>
      </w:r>
      <w:r>
        <w:rPr>
          <w:rFonts w:ascii="宋体" w:hAnsi="宋体" w:cs="宋体" w:eastAsia="宋体"/>
          <w:sz w:val="24"/>
          <w:shd w:fill="FFFFFF" w:val="clear"/>
        </w:rPr>
        <w:t>。</w:t>
      </w:r>
      <w:r>
        <w:rPr>
          <w:rFonts w:ascii="宋体" w:hAnsi="宋体" w:cs="宋体" w:eastAsia="宋体"/>
          <w:sz w:val="24"/>
        </w:rPr>
        <w:t>物流规划报告内容翔实、数据完整、方法正确、计算准确，所提出的方案合理、可行</w:t>
      </w:r>
      <w:r>
        <w:rPr>
          <w:rFonts w:ascii="宋体" w:hAnsi="宋体" w:cs="宋体" w:eastAsia="宋体"/>
          <w:sz w:val="24"/>
        </w:rPr>
        <w:t>。</w:t>
      </w:r>
    </w:p>
    <w:p>
      <w:pPr>
        <w:pStyle w:val="null3"/>
        <w:ind w:right="120" w:firstLine="482"/>
        <w:jc w:val="both"/>
      </w:pPr>
      <w:r>
        <w:rPr>
          <w:rFonts w:ascii="宋体" w:hAnsi="宋体" w:cs="宋体" w:eastAsia="宋体"/>
          <w:b/>
          <w:sz w:val="24"/>
        </w:rPr>
        <w:t>★</w:t>
      </w:r>
      <w:r>
        <w:rPr>
          <w:rFonts w:ascii="宋体" w:hAnsi="宋体" w:cs="宋体" w:eastAsia="宋体"/>
          <w:sz w:val="24"/>
        </w:rPr>
        <w:t>本项目执行的标准或规范，应为现行国家标准、行业标准，包括但不限于以下内容：</w:t>
      </w:r>
    </w:p>
    <w:p>
      <w:pPr>
        <w:pStyle w:val="null3"/>
        <w:spacing w:before="30"/>
        <w:ind w:firstLine="48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《物流企业分类与评估指标》（</w:t>
      </w:r>
      <w:r>
        <w:rPr>
          <w:rFonts w:ascii="宋体" w:hAnsi="宋体" w:cs="宋体" w:eastAsia="宋体"/>
          <w:sz w:val="24"/>
        </w:rPr>
        <w:t xml:space="preserve">GB/T </w:t>
      </w:r>
      <w:r>
        <w:rPr>
          <w:rFonts w:ascii="宋体" w:hAnsi="宋体" w:cs="宋体" w:eastAsia="宋体"/>
          <w:sz w:val="24"/>
        </w:rPr>
        <w:t>19680</w:t>
      </w:r>
      <w:r>
        <w:rPr>
          <w:rFonts w:ascii="宋体" w:hAnsi="宋体" w:cs="宋体" w:eastAsia="宋体"/>
          <w:sz w:val="24"/>
        </w:rPr>
        <w:t>-2013）；</w:t>
      </w:r>
    </w:p>
    <w:p>
      <w:pPr>
        <w:pStyle w:val="null3"/>
        <w:spacing w:before="30"/>
        <w:ind w:firstLine="480"/>
        <w:jc w:val="both"/>
      </w:pPr>
      <w:r>
        <w:rPr>
          <w:rFonts w:ascii="宋体" w:hAnsi="宋体" w:cs="宋体" w:eastAsia="宋体"/>
          <w:sz w:val="24"/>
        </w:rPr>
        <w:t>2.</w:t>
      </w:r>
      <w:r>
        <w:rPr>
          <w:rFonts w:ascii="宋体" w:hAnsi="宋体" w:cs="宋体" w:eastAsia="宋体"/>
          <w:sz w:val="24"/>
        </w:rPr>
        <w:t>《仓储绩效指标体系》（</w:t>
      </w:r>
      <w:r>
        <w:rPr>
          <w:rFonts w:ascii="宋体" w:hAnsi="宋体" w:cs="宋体" w:eastAsia="宋体"/>
          <w:sz w:val="24"/>
        </w:rPr>
        <w:t>GB/T 3033</w:t>
      </w:r>
      <w:r>
        <w:rPr>
          <w:rFonts w:ascii="宋体" w:hAnsi="宋体" w:cs="宋体" w:eastAsia="宋体"/>
          <w:sz w:val="24"/>
        </w:rPr>
        <w:t>1</w:t>
      </w:r>
      <w:r>
        <w:rPr>
          <w:rFonts w:ascii="宋体" w:hAnsi="宋体" w:cs="宋体" w:eastAsia="宋体"/>
          <w:sz w:val="24"/>
        </w:rPr>
        <w:t>-2013）；</w:t>
      </w:r>
    </w:p>
    <w:p>
      <w:pPr>
        <w:pStyle w:val="null3"/>
        <w:spacing w:before="30"/>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《物流园区服务规范及评估指标》（</w:t>
      </w:r>
      <w:r>
        <w:rPr>
          <w:rFonts w:ascii="宋体" w:hAnsi="宋体" w:cs="宋体" w:eastAsia="宋体"/>
          <w:sz w:val="24"/>
        </w:rPr>
        <w:t>GB/T 30334-2013）；</w:t>
      </w:r>
    </w:p>
    <w:p>
      <w:pPr>
        <w:pStyle w:val="null3"/>
        <w:spacing w:before="30"/>
        <w:ind w:firstLine="480"/>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《物流园区统计指标体系》（</w:t>
      </w:r>
      <w:r>
        <w:rPr>
          <w:rFonts w:ascii="宋体" w:hAnsi="宋体" w:cs="宋体" w:eastAsia="宋体"/>
          <w:sz w:val="24"/>
        </w:rPr>
        <w:t>GB</w:t>
      </w:r>
      <w:r>
        <w:rPr>
          <w:rFonts w:ascii="宋体" w:hAnsi="宋体" w:cs="宋体" w:eastAsia="宋体"/>
          <w:sz w:val="24"/>
        </w:rPr>
        <w:t>/T 30337</w:t>
      </w:r>
      <w:r>
        <w:rPr>
          <w:rFonts w:ascii="宋体" w:hAnsi="宋体" w:cs="宋体" w:eastAsia="宋体"/>
          <w:sz w:val="24"/>
        </w:rPr>
        <w:t>-201</w:t>
      </w:r>
      <w:r>
        <w:rPr>
          <w:rFonts w:ascii="宋体" w:hAnsi="宋体" w:cs="宋体" w:eastAsia="宋体"/>
          <w:sz w:val="24"/>
        </w:rPr>
        <w:t>3</w:t>
      </w:r>
      <w:r>
        <w:rPr>
          <w:rFonts w:ascii="宋体" w:hAnsi="宋体" w:cs="宋体" w:eastAsia="宋体"/>
          <w:sz w:val="24"/>
        </w:rPr>
        <w:t>）；</w:t>
      </w:r>
    </w:p>
    <w:p>
      <w:pPr>
        <w:pStyle w:val="null3"/>
        <w:spacing w:before="30"/>
        <w:ind w:firstLine="480"/>
        <w:jc w:val="both"/>
      </w:pPr>
      <w:r>
        <w:rPr>
          <w:rFonts w:ascii="宋体" w:hAnsi="宋体" w:cs="宋体" w:eastAsia="宋体"/>
          <w:sz w:val="24"/>
        </w:rPr>
        <w:t>5</w:t>
      </w:r>
      <w:r>
        <w:rPr>
          <w:rFonts w:ascii="宋体" w:hAnsi="宋体" w:cs="宋体" w:eastAsia="宋体"/>
          <w:sz w:val="24"/>
        </w:rPr>
        <w:t>.《物流园区绩效指标体系》（GB/T 37102-2018）。</w:t>
      </w:r>
    </w:p>
    <w:p>
      <w:pPr>
        <w:pStyle w:val="null3"/>
        <w:ind w:firstLine="480"/>
        <w:jc w:val="left"/>
      </w:pPr>
      <w:r>
        <w:rPr>
          <w:rFonts w:ascii="宋体" w:hAnsi="宋体" w:cs="宋体" w:eastAsia="宋体"/>
          <w:sz w:val="24"/>
          <w:shd w:fill="FFFFFF" w:val="clear"/>
        </w:rPr>
        <w:t>本项目</w:t>
      </w:r>
      <w:r>
        <w:rPr>
          <w:rFonts w:ascii="宋体" w:hAnsi="宋体" w:cs="宋体" w:eastAsia="宋体"/>
          <w:sz w:val="24"/>
          <w:shd w:fill="FFFFFF" w:val="clear"/>
        </w:rPr>
        <w:t>规划内容包括但不限于以下内容：</w:t>
      </w:r>
    </w:p>
    <w:p>
      <w:pPr>
        <w:pStyle w:val="null3"/>
        <w:jc w:val="left"/>
      </w:pPr>
      <w:r>
        <w:rPr>
          <w:rFonts w:ascii="宋体" w:hAnsi="宋体" w:cs="宋体" w:eastAsia="宋体"/>
          <w:sz w:val="24"/>
        </w:rPr>
        <w:t>（一）</w:t>
      </w:r>
      <w:r>
        <w:rPr>
          <w:rFonts w:ascii="宋体" w:hAnsi="宋体" w:cs="宋体" w:eastAsia="宋体"/>
          <w:sz w:val="24"/>
        </w:rPr>
        <w:t>物流产业调研</w:t>
      </w:r>
      <w:r>
        <w:rPr>
          <w:rFonts w:ascii="宋体" w:hAnsi="宋体" w:cs="宋体" w:eastAsia="宋体"/>
          <w:sz w:val="24"/>
        </w:rPr>
        <w:t>与现状分析</w:t>
      </w:r>
      <w:r>
        <w:rPr>
          <w:rFonts w:ascii="宋体" w:hAnsi="宋体" w:cs="宋体" w:eastAsia="宋体"/>
          <w:sz w:val="24"/>
        </w:rPr>
        <w:t>：</w:t>
      </w:r>
    </w:p>
    <w:p>
      <w:pPr>
        <w:pStyle w:val="null3"/>
        <w:jc w:val="left"/>
      </w:pPr>
      <w:r>
        <w:rPr>
          <w:rFonts w:ascii="宋体" w:hAnsi="宋体" w:cs="宋体" w:eastAsia="宋体"/>
          <w:b/>
          <w:sz w:val="24"/>
        </w:rPr>
        <w:t>(评标指标项1)</w:t>
      </w:r>
      <w:r>
        <w:rPr>
          <w:rFonts w:ascii="宋体" w:hAnsi="宋体" w:cs="宋体" w:eastAsia="宋体"/>
          <w:sz w:val="24"/>
        </w:rPr>
        <w:t>1、</w:t>
      </w:r>
      <w:r>
        <w:rPr>
          <w:rFonts w:ascii="宋体" w:hAnsi="宋体" w:cs="宋体" w:eastAsia="宋体"/>
          <w:sz w:val="24"/>
        </w:rPr>
        <w:t>对宁德市典型高速公路收费站、物流园区、配送中心、运输企业、大型生产企业进行现场调研</w:t>
      </w:r>
      <w:r>
        <w:rPr>
          <w:rFonts w:ascii="宋体" w:hAnsi="宋体" w:cs="宋体" w:eastAsia="宋体"/>
          <w:sz w:val="24"/>
        </w:rPr>
        <w:t>；</w:t>
      </w:r>
    </w:p>
    <w:p>
      <w:pPr>
        <w:pStyle w:val="null3"/>
        <w:jc w:val="left"/>
      </w:pPr>
      <w:r>
        <w:rPr>
          <w:rFonts w:ascii="宋体" w:hAnsi="宋体" w:cs="宋体" w:eastAsia="宋体"/>
          <w:b/>
          <w:sz w:val="24"/>
        </w:rPr>
        <w:t>(评标指标项</w:t>
      </w:r>
      <w:r>
        <w:rPr>
          <w:rFonts w:ascii="宋体" w:hAnsi="宋体" w:cs="宋体" w:eastAsia="宋体"/>
          <w:b/>
          <w:sz w:val="24"/>
        </w:rPr>
        <w:t>2</w:t>
      </w:r>
      <w:r>
        <w:rPr>
          <w:rFonts w:ascii="宋体" w:hAnsi="宋体" w:cs="宋体" w:eastAsia="宋体"/>
          <w:b/>
          <w:sz w:val="24"/>
        </w:rPr>
        <w:t>)</w:t>
      </w:r>
      <w:r>
        <w:rPr>
          <w:rFonts w:ascii="宋体" w:hAnsi="宋体" w:cs="宋体" w:eastAsia="宋体"/>
          <w:sz w:val="24"/>
        </w:rPr>
        <w:t>2、</w:t>
      </w:r>
      <w:r>
        <w:rPr>
          <w:rFonts w:ascii="宋体" w:hAnsi="宋体" w:cs="宋体" w:eastAsia="宋体"/>
          <w:sz w:val="24"/>
        </w:rPr>
        <w:t>全面了解宁德市物流发展现状</w:t>
      </w:r>
      <w:r>
        <w:rPr>
          <w:rFonts w:ascii="宋体" w:hAnsi="宋体" w:cs="宋体" w:eastAsia="宋体"/>
          <w:sz w:val="24"/>
        </w:rPr>
        <w:t>和面临的国内外发展形势</w:t>
      </w:r>
      <w:r>
        <w:rPr>
          <w:rFonts w:ascii="宋体" w:hAnsi="宋体" w:cs="宋体" w:eastAsia="宋体"/>
          <w:sz w:val="24"/>
        </w:rPr>
        <w:t>。</w:t>
      </w:r>
    </w:p>
    <w:p>
      <w:pPr>
        <w:pStyle w:val="null3"/>
        <w:jc w:val="left"/>
      </w:pPr>
      <w:r>
        <w:rPr>
          <w:rFonts w:ascii="宋体" w:hAnsi="宋体" w:cs="宋体" w:eastAsia="宋体"/>
          <w:sz w:val="24"/>
        </w:rPr>
        <w:t>（二）</w:t>
      </w:r>
      <w:r>
        <w:rPr>
          <w:rFonts w:ascii="宋体" w:hAnsi="宋体" w:cs="宋体" w:eastAsia="宋体"/>
          <w:sz w:val="24"/>
        </w:rPr>
        <w:t>运输基础数据采集：</w:t>
      </w:r>
    </w:p>
    <w:p>
      <w:pPr>
        <w:pStyle w:val="null3"/>
        <w:jc w:val="left"/>
      </w:pPr>
      <w:r>
        <w:rPr>
          <w:rFonts w:ascii="宋体" w:hAnsi="宋体" w:cs="宋体" w:eastAsia="宋体"/>
          <w:b/>
          <w:sz w:val="24"/>
        </w:rPr>
        <w:t>(评标指标项</w:t>
      </w:r>
      <w:r>
        <w:rPr>
          <w:rFonts w:ascii="宋体" w:hAnsi="宋体" w:cs="宋体" w:eastAsia="宋体"/>
          <w:b/>
          <w:sz w:val="24"/>
        </w:rPr>
        <w:t>3</w:t>
      </w:r>
      <w:r>
        <w:rPr>
          <w:rFonts w:ascii="宋体" w:hAnsi="宋体" w:cs="宋体" w:eastAsia="宋体"/>
          <w:b/>
          <w:sz w:val="24"/>
        </w:rPr>
        <w:t>)</w:t>
      </w:r>
      <w:r>
        <w:rPr>
          <w:rFonts w:ascii="宋体" w:hAnsi="宋体" w:cs="宋体" w:eastAsia="宋体"/>
          <w:sz w:val="24"/>
        </w:rPr>
        <w:t>1、</w:t>
      </w:r>
      <w:r>
        <w:rPr>
          <w:rFonts w:ascii="宋体" w:hAnsi="宋体" w:cs="宋体" w:eastAsia="宋体"/>
          <w:sz w:val="24"/>
        </w:rPr>
        <w:t>协调采集宁德市普通公路、高速公路、铁路和水运的基础运输数据和资料</w:t>
      </w:r>
      <w:r>
        <w:rPr>
          <w:rFonts w:ascii="宋体" w:hAnsi="宋体" w:cs="宋体" w:eastAsia="宋体"/>
          <w:sz w:val="24"/>
        </w:rPr>
        <w:t>；</w:t>
      </w:r>
    </w:p>
    <w:p>
      <w:pPr>
        <w:pStyle w:val="null3"/>
        <w:jc w:val="left"/>
      </w:pPr>
      <w:r>
        <w:rPr>
          <w:rFonts w:ascii="宋体" w:hAnsi="宋体" w:cs="宋体" w:eastAsia="宋体"/>
          <w:b/>
          <w:sz w:val="24"/>
        </w:rPr>
        <w:t>(评标指标项</w:t>
      </w:r>
      <w:r>
        <w:rPr>
          <w:rFonts w:ascii="宋体" w:hAnsi="宋体" w:cs="宋体" w:eastAsia="宋体"/>
          <w:b/>
          <w:sz w:val="24"/>
        </w:rPr>
        <w:t>4</w:t>
      </w:r>
      <w:r>
        <w:rPr>
          <w:rFonts w:ascii="宋体" w:hAnsi="宋体" w:cs="宋体" w:eastAsia="宋体"/>
          <w:b/>
          <w:sz w:val="24"/>
        </w:rPr>
        <w:t>)</w:t>
      </w:r>
      <w:r>
        <w:rPr>
          <w:rFonts w:ascii="宋体" w:hAnsi="宋体" w:cs="宋体" w:eastAsia="宋体"/>
          <w:sz w:val="24"/>
        </w:rPr>
        <w:t>2、</w:t>
      </w:r>
      <w:r>
        <w:rPr>
          <w:rFonts w:ascii="宋体" w:hAnsi="宋体" w:cs="宋体" w:eastAsia="宋体"/>
          <w:sz w:val="24"/>
        </w:rPr>
        <w:t>从福建省区域统筹考虑，分析宁德市现有物流总量现状</w:t>
      </w:r>
      <w:r>
        <w:rPr>
          <w:rFonts w:ascii="宋体" w:hAnsi="宋体" w:cs="宋体" w:eastAsia="宋体"/>
          <w:sz w:val="24"/>
        </w:rPr>
        <w:t>。</w:t>
      </w:r>
    </w:p>
    <w:p>
      <w:pPr>
        <w:pStyle w:val="null3"/>
        <w:ind w:left="570"/>
        <w:jc w:val="left"/>
      </w:pPr>
      <w:r>
        <w:rPr>
          <w:rFonts w:ascii="宋体" w:hAnsi="宋体" w:cs="宋体" w:eastAsia="宋体"/>
          <w:sz w:val="24"/>
        </w:rPr>
        <w:t>（三）</w:t>
      </w:r>
      <w:r>
        <w:rPr>
          <w:rFonts w:ascii="宋体" w:hAnsi="宋体" w:cs="宋体" w:eastAsia="宋体"/>
          <w:sz w:val="24"/>
        </w:rPr>
        <w:t>需求分析</w:t>
      </w:r>
      <w:r>
        <w:rPr>
          <w:rFonts w:ascii="宋体" w:hAnsi="宋体" w:cs="宋体" w:eastAsia="宋体"/>
          <w:sz w:val="24"/>
        </w:rPr>
        <w:t>：</w:t>
      </w:r>
    </w:p>
    <w:p>
      <w:pPr>
        <w:pStyle w:val="null3"/>
        <w:ind w:left="570"/>
        <w:jc w:val="left"/>
      </w:pPr>
      <w:r>
        <w:rPr>
          <w:rFonts w:ascii="宋体" w:hAnsi="宋体" w:cs="宋体" w:eastAsia="宋体"/>
          <w:b/>
          <w:sz w:val="24"/>
        </w:rPr>
        <w:t>(评标指标项</w:t>
      </w:r>
      <w:r>
        <w:rPr>
          <w:rFonts w:ascii="宋体" w:hAnsi="宋体" w:cs="宋体" w:eastAsia="宋体"/>
          <w:b/>
          <w:sz w:val="24"/>
        </w:rPr>
        <w:t>5</w:t>
      </w:r>
      <w:r>
        <w:rPr>
          <w:rFonts w:ascii="宋体" w:hAnsi="宋体" w:cs="宋体" w:eastAsia="宋体"/>
          <w:b/>
          <w:sz w:val="24"/>
        </w:rPr>
        <w:t>1)</w:t>
      </w:r>
      <w:r>
        <w:rPr>
          <w:rFonts w:ascii="宋体" w:hAnsi="宋体" w:cs="宋体" w:eastAsia="宋体"/>
          <w:sz w:val="24"/>
        </w:rPr>
        <w:t>1、</w:t>
      </w:r>
      <w:r>
        <w:rPr>
          <w:rFonts w:ascii="宋体" w:hAnsi="宋体" w:cs="宋体" w:eastAsia="宋体"/>
          <w:sz w:val="24"/>
        </w:rPr>
        <w:t>要求具备对物流数据进行分析和建模的能力，包括对货物流向、运输距离、需求量、运输成本等数据进行统计和分析，测算方法依据合理充分，规划方案符合宁德市土地和交通发展等实际情况。</w:t>
      </w:r>
    </w:p>
    <w:p>
      <w:pPr>
        <w:pStyle w:val="null3"/>
        <w:ind w:left="570"/>
        <w:jc w:val="left"/>
      </w:pPr>
      <w:r>
        <w:rPr>
          <w:rFonts w:ascii="宋体" w:hAnsi="宋体" w:cs="宋体" w:eastAsia="宋体"/>
          <w:b/>
          <w:sz w:val="24"/>
        </w:rPr>
        <w:t>(评标指标项</w:t>
      </w:r>
      <w:r>
        <w:rPr>
          <w:rFonts w:ascii="宋体" w:hAnsi="宋体" w:cs="宋体" w:eastAsia="宋体"/>
          <w:b/>
          <w:sz w:val="24"/>
        </w:rPr>
        <w:t>6</w:t>
      </w:r>
      <w:r>
        <w:rPr>
          <w:rFonts w:ascii="宋体" w:hAnsi="宋体" w:cs="宋体" w:eastAsia="宋体"/>
          <w:b/>
          <w:sz w:val="24"/>
        </w:rPr>
        <w:t>)</w:t>
      </w:r>
      <w:r>
        <w:rPr>
          <w:rFonts w:ascii="宋体" w:hAnsi="宋体" w:cs="宋体" w:eastAsia="宋体"/>
          <w:sz w:val="24"/>
        </w:rPr>
        <w:t>2、根据</w:t>
      </w:r>
      <w:r>
        <w:rPr>
          <w:rFonts w:ascii="宋体" w:hAnsi="宋体" w:cs="宋体" w:eastAsia="宋体"/>
          <w:sz w:val="24"/>
        </w:rPr>
        <w:t>近年来的发展趋势，对未来</w:t>
      </w:r>
      <w:r>
        <w:rPr>
          <w:rFonts w:ascii="宋体" w:hAnsi="宋体" w:cs="宋体" w:eastAsia="宋体"/>
          <w:sz w:val="24"/>
        </w:rPr>
        <w:t>10</w:t>
      </w:r>
      <w:r>
        <w:rPr>
          <w:rFonts w:ascii="宋体" w:hAnsi="宋体" w:cs="宋体" w:eastAsia="宋体"/>
          <w:sz w:val="24"/>
        </w:rPr>
        <w:t>年物流总量进行预测分析。</w:t>
      </w:r>
    </w:p>
    <w:p>
      <w:pPr>
        <w:pStyle w:val="null3"/>
        <w:ind w:left="570"/>
        <w:jc w:val="left"/>
      </w:pPr>
      <w:r>
        <w:rPr>
          <w:rFonts w:ascii="宋体" w:hAnsi="宋体" w:cs="宋体" w:eastAsia="宋体"/>
          <w:sz w:val="24"/>
        </w:rPr>
        <w:t>（三）</w:t>
      </w:r>
      <w:r>
        <w:rPr>
          <w:rFonts w:ascii="宋体" w:hAnsi="宋体" w:cs="宋体" w:eastAsia="宋体"/>
          <w:sz w:val="24"/>
        </w:rPr>
        <w:t>重点工程：</w:t>
      </w:r>
    </w:p>
    <w:p>
      <w:pPr>
        <w:pStyle w:val="null3"/>
        <w:ind w:left="570"/>
        <w:jc w:val="left"/>
      </w:pPr>
      <w:r>
        <w:rPr>
          <w:rFonts w:ascii="宋体" w:hAnsi="宋体" w:cs="宋体" w:eastAsia="宋体"/>
          <w:b/>
          <w:sz w:val="24"/>
        </w:rPr>
        <w:t>(评标指标项1</w:t>
      </w:r>
      <w:r>
        <w:rPr>
          <w:rFonts w:ascii="宋体" w:hAnsi="宋体" w:cs="宋体" w:eastAsia="宋体"/>
          <w:b/>
          <w:sz w:val="24"/>
        </w:rPr>
        <w:t>7</w:t>
      </w:r>
      <w:r>
        <w:rPr>
          <w:rFonts w:ascii="宋体" w:hAnsi="宋体" w:cs="宋体" w:eastAsia="宋体"/>
          <w:b/>
          <w:sz w:val="24"/>
        </w:rPr>
        <w:t>)</w:t>
      </w:r>
      <w:r>
        <w:rPr>
          <w:rFonts w:ascii="宋体" w:hAnsi="宋体" w:cs="宋体" w:eastAsia="宋体"/>
          <w:sz w:val="24"/>
        </w:rPr>
        <w:t>1、重点研究已建物流园区提档升级工程、多式联运创新强化工程、城市节点配送强基工程、物流数字化平台创新工程。</w:t>
      </w:r>
    </w:p>
    <w:p>
      <w:pPr>
        <w:pStyle w:val="null3"/>
        <w:ind w:left="570"/>
        <w:jc w:val="left"/>
      </w:pPr>
      <w:r>
        <w:rPr>
          <w:rFonts w:ascii="宋体" w:hAnsi="宋体" w:cs="宋体" w:eastAsia="宋体"/>
          <w:sz w:val="24"/>
        </w:rPr>
        <w:t>（四）</w:t>
      </w:r>
      <w:r>
        <w:rPr>
          <w:rFonts w:ascii="宋体" w:hAnsi="宋体" w:cs="宋体" w:eastAsia="宋体"/>
          <w:sz w:val="24"/>
        </w:rPr>
        <w:t>实施措施：</w:t>
      </w:r>
    </w:p>
    <w:p>
      <w:pPr>
        <w:pStyle w:val="null3"/>
        <w:ind w:left="570"/>
        <w:jc w:val="left"/>
      </w:pPr>
      <w:r>
        <w:rPr>
          <w:rFonts w:ascii="宋体" w:hAnsi="宋体" w:cs="宋体" w:eastAsia="宋体"/>
          <w:b/>
          <w:sz w:val="24"/>
        </w:rPr>
        <w:t>(评标指标项</w:t>
      </w:r>
      <w:r>
        <w:rPr>
          <w:rFonts w:ascii="宋体" w:hAnsi="宋体" w:cs="宋体" w:eastAsia="宋体"/>
          <w:b/>
          <w:sz w:val="24"/>
        </w:rPr>
        <w:t>8</w:t>
      </w:r>
      <w:r>
        <w:rPr>
          <w:rFonts w:ascii="宋体" w:hAnsi="宋体" w:cs="宋体" w:eastAsia="宋体"/>
          <w:b/>
          <w:sz w:val="24"/>
        </w:rPr>
        <w:t>)</w:t>
      </w:r>
      <w:r>
        <w:rPr>
          <w:rFonts w:ascii="宋体" w:hAnsi="宋体" w:cs="宋体" w:eastAsia="宋体"/>
          <w:sz w:val="24"/>
        </w:rPr>
        <w:t>1、</w:t>
      </w:r>
      <w:r>
        <w:rPr>
          <w:rFonts w:ascii="宋体" w:hAnsi="宋体" w:cs="宋体" w:eastAsia="宋体"/>
          <w:sz w:val="24"/>
        </w:rPr>
        <w:t>可</w:t>
      </w:r>
      <w:r>
        <w:rPr>
          <w:rFonts w:ascii="宋体" w:hAnsi="宋体" w:cs="宋体" w:eastAsia="宋体"/>
          <w:sz w:val="24"/>
        </w:rPr>
        <w:t>持续性满足未来城市规</w:t>
      </w:r>
      <w:r>
        <w:rPr>
          <w:rFonts w:ascii="宋体" w:hAnsi="宋体" w:cs="宋体" w:eastAsia="宋体"/>
          <w:sz w:val="24"/>
        </w:rPr>
        <w:t>划发展需求，具体实施过程中可操作强，准确把握项目定位</w:t>
      </w:r>
      <w:r>
        <w:rPr>
          <w:rFonts w:ascii="宋体" w:hAnsi="宋体" w:cs="宋体" w:eastAsia="宋体"/>
          <w:sz w:val="24"/>
        </w:rPr>
        <w:t>；</w:t>
      </w:r>
    </w:p>
    <w:p>
      <w:pPr>
        <w:pStyle w:val="null3"/>
        <w:ind w:left="570"/>
        <w:jc w:val="left"/>
      </w:pPr>
      <w:r>
        <w:rPr>
          <w:rFonts w:ascii="宋体" w:hAnsi="宋体" w:cs="宋体" w:eastAsia="宋体"/>
          <w:b/>
          <w:sz w:val="24"/>
        </w:rPr>
        <w:t>(评标指标项</w:t>
      </w:r>
      <w:r>
        <w:rPr>
          <w:rFonts w:ascii="宋体" w:hAnsi="宋体" w:cs="宋体" w:eastAsia="宋体"/>
          <w:b/>
          <w:sz w:val="24"/>
        </w:rPr>
        <w:t>9</w:t>
      </w:r>
      <w:r>
        <w:rPr>
          <w:rFonts w:ascii="宋体" w:hAnsi="宋体" w:cs="宋体" w:eastAsia="宋体"/>
          <w:b/>
          <w:sz w:val="24"/>
        </w:rPr>
        <w:t>)</w:t>
      </w:r>
      <w:r>
        <w:rPr>
          <w:rFonts w:ascii="宋体" w:hAnsi="宋体" w:cs="宋体" w:eastAsia="宋体"/>
          <w:sz w:val="24"/>
        </w:rPr>
        <w:t>2、</w:t>
      </w:r>
      <w:r>
        <w:rPr>
          <w:rFonts w:ascii="宋体" w:hAnsi="宋体" w:cs="宋体" w:eastAsia="宋体"/>
          <w:sz w:val="24"/>
        </w:rPr>
        <w:t>在项目管理中有全面周到的考虑和安排，完全符合委托方的需求</w:t>
      </w:r>
      <w:r>
        <w:rPr>
          <w:rFonts w:ascii="宋体" w:hAnsi="宋体" w:cs="宋体" w:eastAsia="宋体"/>
          <w:sz w:val="24"/>
        </w:rPr>
        <w:t>；</w:t>
      </w:r>
    </w:p>
    <w:p>
      <w:pPr>
        <w:pStyle w:val="null3"/>
        <w:ind w:left="570"/>
        <w:jc w:val="left"/>
      </w:pPr>
      <w:r>
        <w:rPr>
          <w:rFonts w:ascii="宋体" w:hAnsi="宋体" w:cs="宋体" w:eastAsia="宋体"/>
          <w:b/>
          <w:sz w:val="24"/>
        </w:rPr>
        <w:t>(评标指标项1</w:t>
      </w:r>
      <w:r>
        <w:rPr>
          <w:rFonts w:ascii="宋体" w:hAnsi="宋体" w:cs="宋体" w:eastAsia="宋体"/>
          <w:b/>
          <w:sz w:val="24"/>
        </w:rPr>
        <w:t>0</w:t>
      </w:r>
      <w:r>
        <w:rPr>
          <w:rFonts w:ascii="宋体" w:hAnsi="宋体" w:cs="宋体" w:eastAsia="宋体"/>
          <w:b/>
          <w:sz w:val="24"/>
        </w:rPr>
        <w:t>)</w:t>
      </w:r>
      <w:r>
        <w:rPr>
          <w:rFonts w:ascii="宋体" w:hAnsi="宋体" w:cs="宋体" w:eastAsia="宋体"/>
          <w:sz w:val="24"/>
        </w:rPr>
        <w:t>3、</w:t>
      </w:r>
      <w:r>
        <w:rPr>
          <w:rFonts w:ascii="宋体" w:hAnsi="宋体" w:cs="宋体" w:eastAsia="宋体"/>
          <w:sz w:val="24"/>
        </w:rPr>
        <w:t>对宁德市物流业发展战略定位及产业发展策略具有前瞻性、科学性、可行性、实操性。</w:t>
      </w:r>
    </w:p>
    <w:p>
      <w:pPr>
        <w:pStyle w:val="null3"/>
        <w:ind w:left="570"/>
        <w:jc w:val="left"/>
      </w:pPr>
      <w:r>
        <w:rPr>
          <w:rFonts w:ascii="宋体" w:hAnsi="宋体" w:cs="宋体" w:eastAsia="宋体"/>
          <w:b/>
          <w:sz w:val="24"/>
        </w:rPr>
        <w:t>(评标指标项1</w:t>
      </w:r>
      <w:r>
        <w:rPr>
          <w:rFonts w:ascii="宋体" w:hAnsi="宋体" w:cs="宋体" w:eastAsia="宋体"/>
          <w:b/>
          <w:sz w:val="24"/>
        </w:rPr>
        <w:t>1</w:t>
      </w:r>
      <w:r>
        <w:rPr>
          <w:rFonts w:ascii="宋体" w:hAnsi="宋体" w:cs="宋体" w:eastAsia="宋体"/>
          <w:b/>
          <w:sz w:val="24"/>
        </w:rPr>
        <w:t>)</w:t>
      </w:r>
      <w:r>
        <w:rPr>
          <w:rFonts w:ascii="宋体" w:hAnsi="宋体" w:cs="宋体" w:eastAsia="宋体"/>
          <w:sz w:val="24"/>
        </w:rPr>
        <w:t>4、实施方案涵盖体系化建设、物流枢纽节点布局优化、物流通道建设保障、产业融合发展等内容。</w:t>
      </w:r>
    </w:p>
    <w:p>
      <w:pPr>
        <w:pStyle w:val="null3"/>
        <w:ind w:left="570"/>
        <w:jc w:val="left"/>
      </w:pPr>
      <w:r>
        <w:rPr>
          <w:rFonts w:ascii="宋体" w:hAnsi="宋体" w:cs="宋体" w:eastAsia="宋体"/>
          <w:sz w:val="24"/>
        </w:rPr>
        <w:t>（五）</w:t>
      </w:r>
      <w:r>
        <w:rPr>
          <w:rFonts w:ascii="宋体" w:hAnsi="宋体" w:cs="宋体" w:eastAsia="宋体"/>
          <w:sz w:val="24"/>
        </w:rPr>
        <w:t>保障措施：</w:t>
      </w:r>
    </w:p>
    <w:p>
      <w:pPr>
        <w:pStyle w:val="null3"/>
        <w:ind w:left="570"/>
        <w:jc w:val="left"/>
      </w:pPr>
      <w:r>
        <w:rPr>
          <w:rFonts w:ascii="宋体" w:hAnsi="宋体" w:cs="宋体" w:eastAsia="宋体"/>
          <w:b/>
          <w:sz w:val="24"/>
        </w:rPr>
        <w:t>(评标指标项1</w:t>
      </w:r>
      <w:r>
        <w:rPr>
          <w:rFonts w:ascii="宋体" w:hAnsi="宋体" w:cs="宋体" w:eastAsia="宋体"/>
          <w:b/>
          <w:sz w:val="24"/>
        </w:rPr>
        <w:t>2</w:t>
      </w:r>
      <w:r>
        <w:rPr>
          <w:rFonts w:ascii="宋体" w:hAnsi="宋体" w:cs="宋体" w:eastAsia="宋体"/>
          <w:b/>
          <w:sz w:val="24"/>
        </w:rPr>
        <w:t>)</w:t>
      </w:r>
      <w:r>
        <w:rPr>
          <w:rFonts w:ascii="宋体" w:hAnsi="宋体" w:cs="宋体" w:eastAsia="宋体"/>
          <w:sz w:val="24"/>
        </w:rPr>
        <w:t>1、从优惠政策、财政支持、协调机制、统计体系、人才培养等多方面提出保障措施。</w:t>
      </w:r>
    </w:p>
    <w:p>
      <w:pPr>
        <w:pStyle w:val="null3"/>
        <w:jc w:val="left"/>
        <w:outlineLvl w:val="2"/>
      </w:pPr>
      <w:r>
        <w:rPr>
          <w:b/>
          <w:sz w:val="28"/>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合同签订后的180天内</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宁德市采购人指定地点</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经验收合格</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是否邀请供应商验收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1、期次1，说明：按竞争性磋商文件文件、响应文件要求验收</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1、合同签订后，供应商提供相应的发票后，达到付款条件起15日内，支付合同总金额的50.00%</w:t>
            </w:r>
          </w:p>
          <w:p>
            <w:pPr>
              <w:pStyle w:val="null3"/>
            </w:pPr>
            <w:r>
              <w:rPr/>
              <w:t>2、提交研究报告后，供应商提供相应的发票，达到付款条件起15日内，支付合同总金额的30.00%</w:t>
            </w:r>
          </w:p>
          <w:p>
            <w:pPr>
              <w:pStyle w:val="null3"/>
            </w:pPr>
            <w:r>
              <w:rPr/>
              <w:t>3、服务半年后进行服务满意度调查评价，符合采购人要求的且提供相应发票，达到付款条件起30日内，支付合同总金额的20.00%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bl>
    <w:p>
      <w:pPr>
        <w:pStyle w:val="null3"/>
        <w:jc w:val="left"/>
      </w:pPr>
      <w:r>
        <w:rPr/>
        <w:t>其他商务要求：</w:t>
      </w:r>
    </w:p>
    <w:p>
      <w:pPr>
        <w:pStyle w:val="null3"/>
        <w:jc w:val="left"/>
      </w:pPr>
      <w:r>
        <w:rPr>
          <w:rFonts w:ascii="宋体" w:hAnsi="宋体" w:cs="宋体" w:eastAsia="宋体"/>
          <w:sz w:val="24"/>
        </w:rPr>
        <w:t>8</w:t>
      </w:r>
      <w:r>
        <w:rPr>
          <w:rFonts w:ascii="宋体" w:hAnsi="宋体" w:cs="宋体" w:eastAsia="宋体"/>
          <w:sz w:val="24"/>
        </w:rPr>
        <w:t>、知识产权</w:t>
      </w:r>
    </w:p>
    <w:p>
      <w:pPr>
        <w:pStyle w:val="null3"/>
        <w:spacing w:before="105" w:after="105"/>
        <w:ind w:firstLine="480"/>
        <w:jc w:val="left"/>
      </w:pPr>
      <w:r>
        <w:rPr>
          <w:rFonts w:ascii="宋体" w:hAnsi="宋体" w:cs="宋体" w:eastAsia="宋体"/>
          <w:sz w:val="24"/>
        </w:rPr>
        <w:t>成交人保证所提供的内容不含有任何侵犯第三方的专利或知识产权的因素。</w:t>
      </w:r>
    </w:p>
    <w:p>
      <w:pPr>
        <w:pStyle w:val="null3"/>
        <w:spacing w:before="105" w:after="105"/>
        <w:ind w:firstLine="482"/>
        <w:jc w:val="left"/>
      </w:pPr>
      <w:r>
        <w:rPr>
          <w:rFonts w:ascii="宋体" w:hAnsi="宋体" w:cs="宋体" w:eastAsia="宋体"/>
          <w:b/>
          <w:sz w:val="24"/>
        </w:rPr>
        <w:t>9</w:t>
      </w:r>
      <w:r>
        <w:rPr>
          <w:rFonts w:ascii="宋体" w:hAnsi="宋体" w:cs="宋体" w:eastAsia="宋体"/>
          <w:b/>
          <w:sz w:val="24"/>
        </w:rPr>
        <w:t>、其他要求</w:t>
      </w:r>
    </w:p>
    <w:p>
      <w:pPr>
        <w:pStyle w:val="null3"/>
        <w:spacing w:before="105" w:after="105"/>
        <w:ind w:firstLine="480"/>
        <w:jc w:val="left"/>
      </w:pPr>
      <w:r>
        <w:rPr>
          <w:rFonts w:ascii="宋体" w:hAnsi="宋体" w:cs="宋体" w:eastAsia="宋体"/>
          <w:sz w:val="24"/>
        </w:rPr>
        <w:t>9</w:t>
      </w:r>
      <w:r>
        <w:rPr>
          <w:rFonts w:ascii="宋体" w:hAnsi="宋体" w:cs="宋体" w:eastAsia="宋体"/>
          <w:sz w:val="24"/>
        </w:rPr>
        <w:t>.1成交人技术方案中如使用第三方软件，则必须提供相应软件产品的使用授权，相关费用已包含在投标价内。</w:t>
      </w:r>
    </w:p>
    <w:p>
      <w:pPr>
        <w:pStyle w:val="null3"/>
        <w:spacing w:before="105" w:after="105"/>
        <w:ind w:firstLine="480"/>
        <w:jc w:val="left"/>
      </w:pPr>
      <w:r>
        <w:rPr>
          <w:rFonts w:ascii="宋体" w:hAnsi="宋体" w:cs="宋体" w:eastAsia="宋体"/>
          <w:sz w:val="24"/>
        </w:rPr>
        <w:t>9</w:t>
      </w:r>
      <w:r>
        <w:rPr>
          <w:rFonts w:ascii="宋体" w:hAnsi="宋体" w:cs="宋体" w:eastAsia="宋体"/>
          <w:sz w:val="24"/>
        </w:rPr>
        <w:t>.2成交人的投标方案或估算清单（整体或部分）中如存在恶意漏项情形，则该情形下的漏项费用由成交人承担。</w:t>
      </w:r>
    </w:p>
    <w:p>
      <w:pPr>
        <w:pStyle w:val="null3"/>
        <w:spacing w:before="105" w:after="105"/>
        <w:ind w:firstLine="482"/>
        <w:jc w:val="left"/>
      </w:pPr>
      <w:r>
        <w:rPr>
          <w:rFonts w:ascii="宋体" w:hAnsi="宋体" w:cs="宋体" w:eastAsia="宋体"/>
          <w:b/>
          <w:sz w:val="24"/>
        </w:rPr>
        <w:t>10</w:t>
      </w:r>
      <w:r>
        <w:rPr>
          <w:rFonts w:ascii="宋体" w:hAnsi="宋体" w:cs="宋体" w:eastAsia="宋体"/>
          <w:b/>
          <w:sz w:val="24"/>
        </w:rPr>
        <w:t>、违约责任</w:t>
      </w:r>
    </w:p>
    <w:p>
      <w:pPr>
        <w:pStyle w:val="null3"/>
        <w:spacing w:before="105" w:after="105"/>
        <w:ind w:firstLine="480"/>
        <w:jc w:val="left"/>
      </w:pPr>
      <w:r>
        <w:rPr>
          <w:rFonts w:ascii="宋体" w:hAnsi="宋体" w:cs="宋体" w:eastAsia="宋体"/>
          <w:sz w:val="24"/>
        </w:rPr>
        <w:t>10</w:t>
      </w:r>
      <w:r>
        <w:rPr>
          <w:rFonts w:ascii="宋体" w:hAnsi="宋体" w:cs="宋体" w:eastAsia="宋体"/>
          <w:sz w:val="24"/>
        </w:rPr>
        <w:t>.1因成交人原因造成服务合同无法按时签订，视为成交人违约，成交人需支付相应的赔偿。</w:t>
      </w:r>
    </w:p>
    <w:p>
      <w:pPr>
        <w:pStyle w:val="null3"/>
        <w:spacing w:before="105" w:after="105"/>
        <w:ind w:firstLine="480"/>
        <w:jc w:val="left"/>
      </w:pPr>
      <w:r>
        <w:rPr>
          <w:rFonts w:ascii="宋体" w:hAnsi="宋体" w:cs="宋体" w:eastAsia="宋体"/>
          <w:sz w:val="24"/>
        </w:rPr>
        <w:t>10</w:t>
      </w:r>
      <w:r>
        <w:rPr>
          <w:rFonts w:ascii="宋体" w:hAnsi="宋体" w:cs="宋体" w:eastAsia="宋体"/>
          <w:sz w:val="24"/>
        </w:rPr>
        <w:t>.2在签定服务合同之后，成交人要求解除合同的，视为成交人违约，对采购人造成的损失的，成交人需支付相应的赔偿。</w:t>
      </w:r>
    </w:p>
    <w:p>
      <w:pPr>
        <w:pStyle w:val="null3"/>
        <w:spacing w:before="105" w:after="105"/>
        <w:ind w:firstLine="480"/>
        <w:jc w:val="left"/>
      </w:pPr>
      <w:r>
        <w:rPr>
          <w:rFonts w:ascii="宋体" w:hAnsi="宋体" w:cs="宋体" w:eastAsia="宋体"/>
          <w:sz w:val="24"/>
        </w:rPr>
        <w:t>10</w:t>
      </w:r>
      <w:r>
        <w:rPr>
          <w:rFonts w:ascii="宋体" w:hAnsi="宋体" w:cs="宋体" w:eastAsia="宋体"/>
          <w:sz w:val="24"/>
        </w:rPr>
        <w:t>.3因成交人原因发生重大责任事故，除依约承担赔偿责任外，还将按有关管理办法规定执行。同时，采购人有权保留更换成交人的权利，并报相关行政主管部门处罚。</w:t>
      </w:r>
    </w:p>
    <w:p>
      <w:pPr>
        <w:pStyle w:val="null3"/>
        <w:spacing w:before="105" w:after="105"/>
        <w:ind w:firstLine="480"/>
        <w:jc w:val="left"/>
      </w:pPr>
      <w:r>
        <w:rPr>
          <w:rFonts w:ascii="宋体" w:hAnsi="宋体" w:cs="宋体" w:eastAsia="宋体"/>
          <w:sz w:val="24"/>
        </w:rPr>
        <w:t>10</w:t>
      </w:r>
      <w:r>
        <w:rPr>
          <w:rFonts w:ascii="宋体" w:hAnsi="宋体" w:cs="宋体" w:eastAsia="宋体"/>
          <w:sz w:val="24"/>
        </w:rPr>
        <w:t>.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保留更换成交人，给采购人造成的损失，还应承担赔偿责任。</w:t>
      </w:r>
    </w:p>
    <w:p>
      <w:pPr>
        <w:pStyle w:val="null3"/>
        <w:spacing w:before="105" w:after="105"/>
        <w:ind w:firstLine="480"/>
        <w:jc w:val="left"/>
      </w:pPr>
      <w:r>
        <w:rPr>
          <w:rFonts w:ascii="宋体" w:hAnsi="宋体" w:cs="宋体" w:eastAsia="宋体"/>
          <w:sz w:val="24"/>
        </w:rPr>
        <w:t>10</w:t>
      </w:r>
      <w:r>
        <w:rPr>
          <w:rFonts w:ascii="宋体" w:hAnsi="宋体" w:cs="宋体" w:eastAsia="宋体"/>
          <w:sz w:val="24"/>
        </w:rPr>
        <w:t>.5在明确违约责任后，成交人应在接到书面通知书起七天内支付违约金、赔偿金等。</w:t>
      </w:r>
    </w:p>
    <w:p>
      <w:pPr>
        <w:pStyle w:val="null3"/>
        <w:jc w:val="left"/>
        <w:outlineLvl w:val="2"/>
      </w:pPr>
      <w:r>
        <w:rPr>
          <w:b/>
          <w:sz w:val="28"/>
        </w:rPr>
        <w:t>四、其他事项</w:t>
      </w:r>
    </w:p>
    <w:p>
      <w:pPr>
        <w:pStyle w:val="null3"/>
        <w:jc w:val="left"/>
      </w:pPr>
      <w:r>
        <w:rPr/>
        <w:t>1、本竞争性磋商文件未明确的其它约定事项或条款，待采购人与成交人签订合同时，由双方协商订立。 2、除竞争性磋商文件另有规定外，若出现有关法律、法规和规章有强制性规定但招标文件未列明的情形，则投标人应按照有关法律、法规和规章强制性规定执行。 3、因本合同或与本合同有关的一切事项发生争议，由双方友好协商解决。协商不成的，由采购人所在地人民法院管辖。</w:t>
      </w:r>
    </w:p>
    <w:p>
      <w:pPr>
        <w:pStyle w:val="null3"/>
      </w:pPr>
      <w:r>
        <w:rPr/>
        <w:t xml:space="preserve"> </w:t>
        <w:br/>
        <w:br w:type="page"/>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0"/>
      </w:pPr>
      <w:r>
        <w:rPr>
          <w:b/>
          <w:sz w:val="48"/>
        </w:rPr>
        <w:t xml:space="preserve"> 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pPr>
      <w:r>
        <w:rPr/>
        <w:t xml:space="preserve"> </w:t>
        <w:br/>
        <w:br w:type="page"/>
      </w:r>
    </w:p>
    <w:p>
      <w:pPr>
        <w:pStyle w:val="null3"/>
        <w:jc w:val="center"/>
        <w:outlineLvl w:val="2"/>
      </w:pPr>
      <w:r>
        <w:rPr>
          <w:b/>
          <w:sz w:val="28"/>
        </w:rPr>
        <w:t>目 录</w:t>
      </w:r>
    </w:p>
    <w:p>
      <w:pPr>
        <w:pStyle w:val="null3"/>
        <w:ind w:firstLine="480"/>
        <w:jc w:val="left"/>
      </w:pPr>
      <w:r>
        <w:rPr/>
        <w:t>附件1：响应函</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b/>
          <w:sz w:val="28"/>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 xml:space="preserve"> 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r>
        <w:br/>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附件2 报价一览表</w:t>
      </w:r>
    </w:p>
    <w:p>
      <w:pPr>
        <w:pStyle w:val="null3"/>
        <w:ind w:firstLine="480"/>
        <w:jc w:val="left"/>
      </w:pPr>
      <w:r>
        <w:rPr/>
        <w:t>供应商名称：</w:t>
      </w:r>
      <w:r>
        <w:rPr>
          <w:u w:val="single"/>
        </w:rPr>
        <w:t>（全称加盖单位公章）</w:t>
      </w:r>
      <w:r>
        <w:rPr/>
        <w:t xml:space="preserve"> 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磋商保证金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 xml:space="preserve">　　　　 </w:t>
      </w:r>
      <w:r>
        <w:rPr>
          <w:u w:val="single"/>
        </w:rPr>
        <w:t>（签字）</w:t>
      </w:r>
    </w:p>
    <w:p>
      <w:pPr>
        <w:pStyle w:val="null3"/>
        <w:jc w:val="left"/>
      </w:pPr>
      <w:r>
        <w:rPr/>
        <w:t xml:space="preserve"> </w:t>
        <w:br/>
        <w:br w:type="page"/>
      </w:r>
    </w:p>
    <w:p>
      <w:pPr>
        <w:pStyle w:val="null3"/>
        <w:jc w:val="center"/>
        <w:outlineLvl w:val="3"/>
      </w:pPr>
      <w:r>
        <w:rPr>
          <w:b/>
          <w:sz w:val="24"/>
        </w:rPr>
        <w:t>附件2-1 详细报价书</w:t>
      </w:r>
    </w:p>
    <w:p>
      <w:pPr>
        <w:pStyle w:val="null3"/>
        <w:jc w:val="left"/>
      </w:pPr>
      <w:r>
        <w:rPr>
          <w:b/>
        </w:rPr>
        <w:t>说明：</w:t>
      </w:r>
    </w:p>
    <w:p>
      <w:pPr>
        <w:pStyle w:val="null3"/>
        <w:ind w:firstLine="480"/>
        <w:jc w:val="left"/>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　　</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br/>
        <w:br w:type="page"/>
      </w:r>
    </w:p>
    <w:p>
      <w:pPr>
        <w:pStyle w:val="null3"/>
        <w:jc w:val="center"/>
        <w:outlineLvl w:val="3"/>
      </w:pPr>
      <w:r>
        <w:rPr>
          <w:b/>
          <w:sz w:val="24"/>
        </w:rPr>
        <w:t>附件3-4 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附件3-5 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附件3-9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附件3-11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br/>
        <w:br w:type="page"/>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br/>
        <w:br w:type="page"/>
      </w:r>
    </w:p>
    <w:p>
      <w:pPr>
        <w:pStyle w:val="null3"/>
        <w:jc w:val="center"/>
        <w:outlineLvl w:val="2"/>
      </w:pPr>
      <w:r>
        <w:rPr>
          <w:b/>
          <w:sz w:val="28"/>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3"/>
      </w:pPr>
      <w:r>
        <w:rPr>
          <w:b/>
          <w:sz w:val="24"/>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left"/>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br/>
        <w:br w:type="page"/>
      </w:r>
    </w:p>
    <w:p>
      <w:pPr>
        <w:pStyle w:val="null3"/>
        <w:jc w:val="center"/>
        <w:outlineLvl w:val="3"/>
      </w:pPr>
      <w:r>
        <w:rPr>
          <w:b/>
          <w:sz w:val="24"/>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br/>
        <w:br w:type="page"/>
      </w:r>
    </w:p>
    <w:p>
      <w:pPr>
        <w:pStyle w:val="null3"/>
        <w:jc w:val="center"/>
        <w:outlineLvl w:val="3"/>
      </w:pPr>
      <w:r>
        <w:rPr>
          <w:b/>
          <w:sz w:val="24"/>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tcPr>
          <w:p>
            <w:pPr>
              <w:pStyle w:val="null3"/>
              <w:jc w:val="center"/>
            </w:pPr>
            <w:r>
              <w:rPr/>
              <w:t>备注</w:t>
            </w:r>
          </w:p>
        </w:tc>
        <w:tc>
          <w:tcPr>
            <w:tcW w:type="dxa" w:w="7476"/>
            <w:gridSpan w:val="6"/>
          </w:tcPr>
          <w:p>
            <w:pPr>
              <w:pStyle w:val="null3"/>
              <w:jc w:val="left"/>
            </w:pPr>
            <w:r>
              <w:rPr/>
              <w:t>a.采购包内属于节能、环境标志产品的报价总金额：</w:t>
            </w:r>
            <w:r>
              <w:rPr>
                <w:u w:val="single"/>
              </w:rPr>
              <w:t xml:space="preserve">           </w:t>
            </w:r>
            <w:r>
              <w:rPr/>
              <w:t>；</w:t>
            </w:r>
          </w:p>
          <w:p>
            <w:pPr>
              <w:pStyle w:val="null3"/>
              <w:jc w:val="left"/>
            </w:pPr>
            <w:r>
              <w:rPr/>
              <w:t>b.采购包投标总价（报价总金额）：</w:t>
            </w:r>
            <w:r>
              <w:rPr>
                <w:u w:val="single"/>
              </w:rPr>
              <w:t xml:space="preserve">           </w:t>
            </w:r>
            <w:r>
              <w:rPr/>
              <w:t>；</w:t>
            </w:r>
          </w:p>
          <w:p>
            <w:pPr>
              <w:pStyle w:val="null3"/>
              <w:jc w:val="left"/>
            </w:pPr>
            <w:r>
              <w:rPr/>
              <w:t>c.“采购包内属于节能、环境标志产品的报价总金额”占“采购包投标总价（报价总金额）”的比例（以%列示）：</w:t>
            </w:r>
            <w:r>
              <w:rPr>
                <w:u w:val="single"/>
              </w:rPr>
              <w:t xml:space="preserve">           </w:t>
            </w:r>
            <w:r>
              <w:rPr/>
              <w:t>；</w:t>
            </w:r>
          </w:p>
        </w:tc>
      </w:tr>
    </w:tbl>
    <w:p>
      <w:pPr>
        <w:pStyle w:val="null3"/>
        <w:ind w:firstLine="480"/>
        <w:jc w:val="left"/>
      </w:pPr>
      <w:r>
        <w:rPr/>
        <w:t>※注意</w:t>
      </w:r>
    </w:p>
    <w:p>
      <w:pPr>
        <w:pStyle w:val="null3"/>
        <w:ind w:firstLine="480"/>
        <w:jc w:val="left"/>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3.3供应商应按照磋商文件上表要求认真统计、计算，否则磋商小组可不予认定。</w:t>
      </w:r>
    </w:p>
    <w:p>
      <w:pPr>
        <w:pStyle w:val="null3"/>
        <w:ind w:firstLine="480"/>
        <w:jc w:val="left"/>
      </w:pPr>
      <w:r>
        <w:rPr/>
        <w:t>3.4若无节能、环境标志产品，不填写本表，否则，视为提供虚假材料。</w:t>
      </w:r>
    </w:p>
    <w:p>
      <w:pPr>
        <w:pStyle w:val="null3"/>
        <w:ind w:firstLine="480"/>
        <w:jc w:val="left"/>
      </w:pPr>
      <w:r>
        <w:rPr/>
        <w:t>3.5强制类节能产品不享受价格扣除。</w:t>
      </w:r>
    </w:p>
    <w:p>
      <w:pPr>
        <w:pStyle w:val="null3"/>
        <w:ind w:firstLine="480"/>
        <w:jc w:val="left"/>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left"/>
      </w:pPr>
      <w:r>
        <w:rPr/>
        <w:t>5、纸质响应文件正本中的本表（若有）应为原件。</w:t>
      </w:r>
    </w:p>
    <w:p>
      <w:pPr>
        <w:pStyle w:val="null3"/>
        <w:ind w:firstLine="480"/>
        <w:jc w:val="left"/>
      </w:pPr>
      <w:r>
        <w:rPr/>
        <w:t>供应商代表：</w:t>
      </w:r>
      <w:r>
        <w:rPr>
          <w:u w:val="single"/>
        </w:rPr>
        <w:t>　　　</w:t>
      </w:r>
      <w:r>
        <w:rPr>
          <w:u w:val="single"/>
        </w:rPr>
        <w:t>（签字）</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