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霞浦县城区2024年春节街景氛围工程</w:t>
      </w:r>
    </w:p>
    <w:p>
      <w:pPr>
        <w:pStyle w:val="null3"/>
        <w:jc w:val="center"/>
        <w:outlineLvl w:val="2"/>
      </w:pPr>
      <w:r>
        <w:rPr>
          <w:b/>
          <w:sz w:val="28"/>
        </w:rPr>
        <w:t>备案编号：</w:t>
      </w:r>
      <w:r>
        <w:rPr>
          <w:b/>
          <w:sz w:val="28"/>
        </w:rPr>
        <w:t>CGXM-2023-350921-01929[2023]01811</w:t>
      </w:r>
    </w:p>
    <w:p>
      <w:pPr>
        <w:pStyle w:val="null3"/>
        <w:jc w:val="center"/>
        <w:outlineLvl w:val="2"/>
      </w:pPr>
      <w:r>
        <w:rPr>
          <w:b/>
          <w:sz w:val="28"/>
        </w:rPr>
        <w:t>项目编号：</w:t>
      </w:r>
      <w:r>
        <w:rPr>
          <w:b/>
          <w:sz w:val="28"/>
        </w:rPr>
        <w:t>[350921]ZCH[GK]2023002</w:t>
      </w:r>
    </w:p>
    <w:p>
      <w:pPr>
        <w:pStyle w:val="null3"/>
        <w:jc w:val="center"/>
        <w:outlineLvl w:val="2"/>
      </w:pPr>
      <w:r>
        <w:rPr>
          <w:b/>
          <w:sz w:val="28"/>
        </w:rPr>
        <w:t>采购人：</w:t>
      </w:r>
      <w:r>
        <w:rPr>
          <w:b/>
          <w:sz w:val="28"/>
        </w:rPr>
        <w:t>霞浦县城市管理局</w:t>
      </w:r>
    </w:p>
    <w:p>
      <w:pPr>
        <w:pStyle w:val="null3"/>
        <w:jc w:val="center"/>
        <w:outlineLvl w:val="2"/>
      </w:pPr>
      <w:r>
        <w:rPr>
          <w:b/>
          <w:sz w:val="28"/>
        </w:rPr>
        <w:t>代理机构：</w:t>
      </w:r>
      <w:r>
        <w:rPr>
          <w:b/>
          <w:sz w:val="28"/>
        </w:rPr>
        <w:t>中宸泓（福建）工程项目管理有限公司</w:t>
      </w:r>
    </w:p>
    <w:p>
      <w:pPr>
        <w:pStyle w:val="null3"/>
        <w:jc w:val="center"/>
        <w:outlineLvl w:val="2"/>
      </w:pPr>
      <w:r>
        <w:rPr>
          <w:b/>
          <w:sz w:val="28"/>
        </w:rPr>
        <w:t>编制时间</w:t>
      </w:r>
      <w:r>
        <w:rPr>
          <w:b/>
          <w:sz w:val="28"/>
        </w:rPr>
        <w:t>：</w:t>
      </w:r>
      <w:r>
        <w:rPr>
          <w:b/>
          <w:sz w:val="28"/>
        </w:rPr>
        <w:t>2023年12月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中宸泓（福建）工程项目管理有限公司</w:t>
      </w:r>
      <w:r>
        <w:rPr/>
        <w:t xml:space="preserve"> 采用公开招标方式组织 </w:t>
      </w:r>
      <w:r>
        <w:rPr/>
        <w:t>霞浦县城区2024年春节街景氛围工程</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CGXM-2023-350921-01929[2023]01811</w:t>
      </w:r>
    </w:p>
    <w:p>
      <w:pPr>
        <w:pStyle w:val="null3"/>
        <w:ind w:firstLine="480"/>
        <w:jc w:val="left"/>
        <w:outlineLvl w:val="2"/>
      </w:pPr>
      <w:r>
        <w:rPr>
          <w:b/>
          <w:sz w:val="28"/>
        </w:rPr>
        <w:t>2、项目编号</w:t>
      </w:r>
      <w:r>
        <w:rPr>
          <w:b/>
          <w:sz w:val="28"/>
        </w:rPr>
        <w:t>：</w:t>
      </w:r>
      <w:r>
        <w:rPr>
          <w:b/>
          <w:sz w:val="28"/>
        </w:rPr>
        <w:t>[350921]ZCH[GK]2023002</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不适用本项目</w:t>
      </w:r>
    </w:p>
    <w:p>
      <w:pPr>
        <w:pStyle w:val="null3"/>
        <w:ind w:firstLine="960"/>
        <w:jc w:val="left"/>
      </w:pPr>
      <w:r>
        <w:rPr/>
        <w:t>节能产品：</w:t>
      </w:r>
      <w:r>
        <w:rPr/>
        <w:t>不适用本项目</w:t>
      </w:r>
    </w:p>
    <w:p>
      <w:pPr>
        <w:pStyle w:val="null3"/>
        <w:ind w:firstLine="960"/>
        <w:jc w:val="left"/>
      </w:pPr>
      <w:r>
        <w:rPr/>
        <w:t>环境标志产品：</w:t>
      </w:r>
      <w:r>
        <w:rPr/>
        <w:t>不适用本项目</w:t>
      </w:r>
    </w:p>
    <w:p>
      <w:pPr>
        <w:pStyle w:val="null3"/>
        <w:ind w:firstLine="960"/>
        <w:jc w:val="left"/>
      </w:pPr>
      <w:r>
        <w:rPr/>
        <w:t>促进中小企业发展的相关政策：</w:t>
      </w:r>
    </w:p>
    <w:p>
      <w:pPr>
        <w:pStyle w:val="null3"/>
        <w:ind w:firstLine="960"/>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霞浦县城市管理局</w:t>
      </w:r>
    </w:p>
    <w:p>
      <w:pPr>
        <w:pStyle w:val="null3"/>
        <w:ind w:firstLine="960"/>
        <w:jc w:val="left"/>
      </w:pPr>
      <w:r>
        <w:rPr/>
        <w:t xml:space="preserve"> 地址： </w:t>
      </w:r>
      <w:r>
        <w:rPr/>
        <w:t>霞浦县松港街道利埕村10号-3</w:t>
      </w:r>
    </w:p>
    <w:p>
      <w:pPr>
        <w:pStyle w:val="null3"/>
        <w:jc w:val="left"/>
      </w:pPr>
      <w:r>
        <w:rPr/>
        <w:t xml:space="preserve"> 邮编： </w:t>
      </w:r>
      <w:r>
        <w:rPr/>
        <w:t>355100</w:t>
      </w:r>
    </w:p>
    <w:p>
      <w:pPr>
        <w:pStyle w:val="null3"/>
        <w:jc w:val="left"/>
      </w:pPr>
      <w:r>
        <w:rPr/>
        <w:t xml:space="preserve"> 联系人： </w:t>
      </w:r>
      <w:r>
        <w:rPr/>
        <w:t>肖</w:t>
      </w:r>
    </w:p>
    <w:p>
      <w:pPr>
        <w:pStyle w:val="null3"/>
        <w:jc w:val="left"/>
      </w:pPr>
      <w:r>
        <w:rPr/>
        <w:t xml:space="preserve"> 联系电话： </w:t>
      </w:r>
      <w:r>
        <w:rPr/>
        <w:t>15859330797</w:t>
      </w:r>
    </w:p>
    <w:p>
      <w:pPr>
        <w:pStyle w:val="null3"/>
        <w:ind w:firstLine="480"/>
        <w:jc w:val="left"/>
        <w:outlineLvl w:val="2"/>
      </w:pPr>
      <w:r>
        <w:rPr>
          <w:b/>
          <w:sz w:val="28"/>
        </w:rPr>
        <w:t>12、代理机构</w:t>
      </w:r>
      <w:r>
        <w:rPr>
          <w:b/>
          <w:sz w:val="28"/>
        </w:rPr>
        <w:t>：</w:t>
      </w:r>
      <w:r>
        <w:rPr>
          <w:b/>
          <w:sz w:val="28"/>
        </w:rPr>
        <w:t>中宸泓（福建）工程项目管理有限公司</w:t>
      </w:r>
    </w:p>
    <w:p>
      <w:pPr>
        <w:pStyle w:val="null3"/>
        <w:ind w:firstLine="960"/>
        <w:jc w:val="both"/>
      </w:pPr>
      <w:r>
        <w:rPr/>
        <w:t xml:space="preserve"> 地址： </w:t>
      </w:r>
      <w:r>
        <w:rPr/>
        <w:t>福建省宁德市东侨经济开发区天湖东路9号金城花苑3幢3梯3-F室</w:t>
      </w:r>
    </w:p>
    <w:p>
      <w:pPr>
        <w:pStyle w:val="null3"/>
        <w:jc w:val="both"/>
      </w:pPr>
      <w:r>
        <w:rPr/>
        <w:t xml:space="preserve"> 邮编： </w:t>
      </w:r>
      <w:r>
        <w:rPr/>
        <w:t>352100</w:t>
      </w:r>
    </w:p>
    <w:p>
      <w:pPr>
        <w:pStyle w:val="null3"/>
        <w:jc w:val="both"/>
      </w:pPr>
      <w:r>
        <w:rPr/>
        <w:t xml:space="preserve"> 联系人： </w:t>
      </w:r>
      <w:r>
        <w:rPr/>
        <w:t>小范</w:t>
      </w:r>
    </w:p>
    <w:p>
      <w:pPr>
        <w:pStyle w:val="null3"/>
        <w:jc w:val="both"/>
      </w:pPr>
      <w:r>
        <w:rPr/>
        <w:t xml:space="preserve"> 联系电话： </w:t>
      </w:r>
      <w:r>
        <w:rPr/>
        <w:t>15715013711</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中宸泓（福建）工程项目管理有限公司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2,500,000.00</w:t>
      </w:r>
    </w:p>
    <w:p>
      <w:pPr>
        <w:pStyle w:val="null3"/>
        <w:jc w:val="left"/>
      </w:pPr>
      <w:r>
        <w:rPr/>
        <w:t>采购包最高限价（元）: 2,356,954.00</w:t>
      </w:r>
    </w:p>
    <w:p>
      <w:pPr>
        <w:pStyle w:val="null3"/>
        <w:jc w:val="left"/>
      </w:pPr>
      <w:r>
        <w:rPr/>
        <w:t>采购包保证金金额（元）: 25,000.00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霞浦县城区2024年春节街景氛围工程</w:t>
            </w:r>
          </w:p>
        </w:tc>
        <w:tc>
          <w:tcPr>
            <w:tcW w:type="dxa" w:w="1187"/>
          </w:tcPr>
          <w:p>
            <w:pPr>
              <w:pStyle w:val="null3"/>
              <w:jc w:val="right"/>
            </w:pPr>
            <w:r>
              <w:rPr/>
              <w:t>1.00</w:t>
            </w:r>
          </w:p>
        </w:tc>
        <w:tc>
          <w:tcPr>
            <w:tcW w:type="dxa" w:w="1187"/>
          </w:tcPr>
          <w:p>
            <w:pPr>
              <w:pStyle w:val="null3"/>
              <w:jc w:val="right"/>
            </w:pPr>
            <w:r>
              <w:rPr/>
              <w:t>2,500,000.00</w:t>
            </w:r>
          </w:p>
        </w:tc>
        <w:tc>
          <w:tcPr>
            <w:tcW w:type="dxa" w:w="1187"/>
          </w:tcPr>
          <w:p>
            <w:pPr>
              <w:pStyle w:val="null3"/>
              <w:jc w:val="left"/>
            </w:pPr>
            <w:r>
              <w:rPr/>
              <w:t>元</w:t>
            </w:r>
          </w:p>
        </w:tc>
        <w:tc>
          <w:tcPr>
            <w:tcW w:type="dxa" w:w="1187"/>
          </w:tcPr>
          <w:p>
            <w:pPr>
              <w:pStyle w:val="null3"/>
              <w:jc w:val="left"/>
            </w:pPr>
            <w:r>
              <w:rPr/>
              <w:t>租赁和商务服务业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中宸泓（福建）工程项目管理有限公司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霞浦县政府采购监督管理办公室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代理服务费收费标准：本项目招标代理服务费20000元包干计取。 中标人在领取中标通知书时，一次性将代理费转入。开户名称：中宸泓（福建）工程项目管理有限公司 账号：429979980916 开户行：中国银行股份有限公司宁德东湖支行</w:t>
            </w:r>
          </w:p>
          <w:p>
            <w:pPr>
              <w:pStyle w:val="null3"/>
              <w:jc w:val="left"/>
            </w:pPr>
            <w:r>
              <w:rPr/>
              <w:t xml:space="preserve"> (2)其他：</w:t>
            </w:r>
          </w:p>
          <w:p>
            <w:pPr>
              <w:pStyle w:val="null3"/>
              <w:jc w:val="left"/>
            </w:pPr>
            <w:r>
              <w:rPr/>
              <w:t>（2.1）投标文件将被拒收、投标将被拒绝、投标无效及废标条款:1）投标有效期不符合投标人须知前附表中表1第4项号规定的；2）出现第二章投标人须知前附表中表1第12项号中规定情形的；3）出现第二章投标人须知前附表中表2投标无效规定的；4）出现第三章投标人须知第3.2（6）、9.2、9.3、9.4、9.5、9.6、9.7、10.6、10.8、10.9、10.11、10.12、11.5、11.6条款中投标无效规定的；5）出现第四章资格审查与评标中投标无效规定的；6）出现第五章招标内容及要求中投标无效规定或“★”标示的内容为负偏离的；7）出现第七章投标文件格式中投标无效规定的。具体内容详见招标文件各章节，请各投标人认真查看对照。 （2.2）a.本项目使用远程开标，投标人可远程线上解密（相关操作手册可查看福建省政府采购网首页操作指南），也可以携带CA证书到开标现场进行解密，选择携带CA证书的应在投标截止时间前将CA证书送至开标地点，否则不予接收。招标文件中关于递交CA证书的表述有不一致的，以本条为准。b.投标人不到开标现场的，请在开标时自行登录采购系统，线上参与开标流程，并按规定在相应时段对投标文件进行远程解密、远程签章。c.投标人应确保自身设施、设备、网络环境状况良好，在操作过程中因投标人自身原因造成无法正常观看开标流程、远程解密或签章的，后果由投标人自行承担。d.在规定的时间内正确提交电子投标文件的投标人在开标时将由系统判定签到情况，投标人应在远程解密开启后在规定时间内（30分钟）使用CA数字证书进行投标文件的解密操作，逾期未解密的视为自行放弃投标。e.开标结束后，投标人应当对开标结果进行签章，并在远程签章开放后的规定时间（30分钟）内完成，逾期未签章的视为认同开标结果。f.远程解密及远程签章的开放起始时间均在开标过程中临时开启，请投标人务必密切关注实时开标流程，并根据流程在系统内按时操作，否则产生的后果由投标人自行承担。（2.3）、根据《关于促进政府采购公平竞争优化营商环境的通知》（财库〔2019〕38号）规定，投标人无需提供信用信息查询结果。若投标人自行提供查询结果的，仍以资格审查小组查询结果为准。本招标文件中若有与此处不一致的，以此处补充说明为准。（2.4）投标人应当遵循诚实守信的原则，不得作出虚假承诺，承诺不实的，属于提供虚假材料谋取中标、成交，依法追究相关的法律责任。 （2.3）在招标文件中，一般资格证明文件财务状况报告（财务报告、或资信证明、或投标担保函）规定，“①投标人提供的财务报告复印件（成立年限按照投标截止时间推算）应符合下列规定： a.成立年限满1年及以上的投标人，提供经审计的上一年度的年度财务报告”。“上一年度”是指2022年度或2023年度，成立年限满1年及以上的投标人,若无法提供2022年度或2023年度经审计的财务报告，须按招标文件要求提供有效的资信证明或投标担保函。</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中宸泓（福建）工程项目管理有限公司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中宸泓（福建）工程项目管理有限公司</w:t>
      </w:r>
      <w:r>
        <w:rPr/>
        <w:t xml:space="preserve"> 将在投标截止时间至少15个日历日前，在招标文件载明的指定媒体以更正公告的形式发布澄清或修改的内容。不足15个日历日的， </w:t>
      </w:r>
      <w:r>
        <w:rPr/>
        <w:t>中宸泓（福建）工程项目管理有限公司</w:t>
      </w:r>
      <w:r>
        <w:rPr/>
        <w:t xml:space="preserve"> 将顺延投标截止时间及开标时间， </w:t>
      </w:r>
      <w:r>
        <w:rPr/>
        <w:t>中宸泓（福建）工程项目管理有限公司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中宸泓（福建）工程项目管理有限公司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中宸泓（福建）工程项目管理有限公司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中宸泓（福建）工程项目管理有限公司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中宸泓（福建）工程项目管理有限公司</w:t>
      </w:r>
      <w:r>
        <w:rPr/>
        <w:t xml:space="preserve"> 可终止招标并发布终止公告。</w:t>
      </w:r>
    </w:p>
    <w:p>
      <w:pPr>
        <w:pStyle w:val="null3"/>
        <w:ind w:firstLine="480"/>
        <w:jc w:val="both"/>
      </w:pPr>
      <w:r>
        <w:rPr/>
        <w:t xml:space="preserve">8.2终止公告作为 </w:t>
      </w:r>
      <w:r>
        <w:rPr/>
        <w:t>中宸泓（福建）工程项目管理有限公司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中宸泓（福建）工程项目管理有限公司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中宸泓（福建）工程项目管理有限公司</w:t>
      </w:r>
      <w:r>
        <w:rPr/>
        <w:t xml:space="preserve"> 可于投标有效期届满之前书面要求投标人延长投标有效期，投标人应在 </w:t>
      </w:r>
      <w:r>
        <w:rPr/>
        <w:t>中宸泓（福建）工程项目管理有限公司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中宸泓（福建）工程项目管理有限公司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中宸泓（福建）工程项目管理有限公司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中宸泓（福建）工程项目管理有限公司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中宸泓（福建）工程项目管理有限公司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中宸泓（福建）工程项目管理有限公司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中宸泓（福建）工程项目管理有限公司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中宸泓（福建）工程项目管理有限公司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中宸泓（福建）工程项目管理有限公司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中宸泓（福建）工程项目管理有限公司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中宸泓（福建）工程项目管理有限公司</w:t>
      </w:r>
      <w:r>
        <w:rPr/>
        <w:t xml:space="preserve"> 提出询问， </w:t>
      </w:r>
      <w:r>
        <w:rPr/>
        <w:t>中宸泓（福建）工程项目管理有限公司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中宸泓（福建）工程项目管理有限公司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中宸泓（福建）工程项目管理有限公司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由中宸泓（福建）工程项目管理有限公司派出的工作人员至少1人，</w:t>
      </w:r>
      <w:r>
        <w:rPr/>
        <w:t>其余1人可为采购人代表或中宸泓（福建）工程项目管理有限公司的工作人员。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中宸泓（福建）工程项目管理有限公司</w:t>
      </w:r>
      <w:r>
        <w:rPr/>
        <w:t xml:space="preserve"> 统一对外发布。</w:t>
      </w:r>
    </w:p>
    <w:p>
      <w:pPr>
        <w:pStyle w:val="null3"/>
        <w:ind w:firstLine="480"/>
        <w:jc w:val="both"/>
      </w:pPr>
      <w:r>
        <w:rPr/>
        <w:t xml:space="preserve">3、资格审查合格的投标人不足三家的，不进行评标。同时，本次采购活动结束， </w:t>
      </w:r>
      <w:r>
        <w:rPr/>
        <w:t>中宸泓（福建）工程项目管理有限公司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中宸泓（福建）工程项目管理有限公司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中宸泓（福建）工程项目管理有限公司</w:t>
      </w:r>
      <w:r>
        <w:rPr/>
        <w:t xml:space="preserve"> 统一对外发布。</w:t>
      </w:r>
    </w:p>
    <w:p>
      <w:pPr>
        <w:pStyle w:val="null3"/>
        <w:ind w:firstLine="480"/>
        <w:jc w:val="both"/>
      </w:pPr>
      <w:r>
        <w:rPr/>
        <w:t xml:space="preserve">②对 </w:t>
      </w:r>
      <w:r>
        <w:rPr/>
        <w:t>中宸泓（福建）工程项目管理有限公司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投标人技术部分的实际得分少于招标文件设定的技术部分总分50%的投标无效。</w:t>
            </w:r>
          </w:p>
        </w:tc>
      </w:tr>
      <w:tr>
        <w:tc>
          <w:tcPr>
            <w:tcW w:type="dxa" w:w="4153"/>
          </w:tcPr>
          <w:p>
            <w:pPr>
              <w:pStyle w:val="null3"/>
              <w:jc w:val="left"/>
            </w:pPr>
            <w:r>
              <w:rPr/>
              <w:t>其他情形</w:t>
            </w:r>
          </w:p>
        </w:tc>
        <w:tc>
          <w:tcPr>
            <w:tcW w:type="dxa" w:w="4153"/>
          </w:tcPr>
          <w:p>
            <w:pPr>
              <w:pStyle w:val="null3"/>
              <w:jc w:val="left"/>
            </w:pPr>
            <w:r>
              <w:rPr/>
              <w:t>投标文件技术商务部分中不得出现报价部分的全部或部分的投标报价信息（或组成资料），否则视为无效投标。</w:t>
            </w:r>
          </w:p>
        </w:tc>
      </w:tr>
      <w:tr>
        <w:tc>
          <w:tcPr>
            <w:tcW w:type="dxa" w:w="4153"/>
          </w:tcPr>
          <w:p>
            <w:pPr>
              <w:pStyle w:val="null3"/>
              <w:jc w:val="left"/>
            </w:pPr>
            <w:r>
              <w:rPr/>
              <w:t>其他情形</w:t>
            </w:r>
          </w:p>
        </w:tc>
        <w:tc>
          <w:tcPr>
            <w:tcW w:type="dxa" w:w="4153"/>
          </w:tcPr>
          <w:p>
            <w:pPr>
              <w:pStyle w:val="null3"/>
              <w:jc w:val="left"/>
            </w:pPr>
            <w:r>
              <w:rPr/>
              <w:t>不符合招标文件中规定的其它实质性要求条款的视为无效投标。</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交付地点、交付时间、交付条件、支付方式不满足招标文件要求的视为无效投标。</w:t>
            </w:r>
          </w:p>
        </w:tc>
      </w:tr>
      <w:tr>
        <w:tc>
          <w:tcPr>
            <w:tcW w:type="dxa" w:w="4153"/>
          </w:tcPr>
          <w:p>
            <w:pPr>
              <w:pStyle w:val="null3"/>
              <w:jc w:val="left"/>
            </w:pPr>
            <w:r>
              <w:rPr/>
              <w:t>其他情形</w:t>
            </w:r>
          </w:p>
        </w:tc>
        <w:tc>
          <w:tcPr>
            <w:tcW w:type="dxa" w:w="4153"/>
          </w:tcPr>
          <w:p>
            <w:pPr>
              <w:pStyle w:val="null3"/>
              <w:jc w:val="left"/>
            </w:pPr>
            <w:r>
              <w:rPr/>
              <w:t>不满足招标文件第五章中带★号的条款的视为无效投标。</w:t>
            </w:r>
          </w:p>
        </w:tc>
      </w:tr>
      <w:tr>
        <w:tc>
          <w:tcPr>
            <w:tcW w:type="dxa" w:w="4153"/>
          </w:tcPr>
          <w:p>
            <w:pPr>
              <w:pStyle w:val="null3"/>
              <w:jc w:val="left"/>
            </w:pPr>
            <w:r>
              <w:rPr/>
              <w:t>其他情形</w:t>
            </w:r>
          </w:p>
        </w:tc>
        <w:tc>
          <w:tcPr>
            <w:tcW w:type="dxa" w:w="4153"/>
          </w:tcPr>
          <w:p>
            <w:pPr>
              <w:pStyle w:val="null3"/>
              <w:jc w:val="left"/>
            </w:pPr>
            <w:r>
              <w:rPr/>
              <w:t>不符合招标文件中规定的其它实质性要求条款的视为无效投标。</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投标人投标文件报价部分中的详细分项报价书应根据《控制价》及《清单》中各表格进行填报，未按要求进行填报的，响应无效。</w:t>
            </w:r>
          </w:p>
        </w:tc>
      </w:tr>
    </w:tbl>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中宸泓（福建）工程项目管理有限公司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价格项（F1×A1）满分为10.00分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技术项（F2×A2）满分为81.00分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技术响应情况</w:t>
            </w:r>
          </w:p>
        </w:tc>
        <w:tc>
          <w:tcPr>
            <w:tcW w:type="dxa" w:w="831"/>
          </w:tcPr>
          <w:p>
            <w:pPr>
              <w:pStyle w:val="null3"/>
              <w:jc w:val="right"/>
            </w:pPr>
            <w:r>
              <w:rPr/>
              <w:t>33.00</w:t>
            </w:r>
          </w:p>
        </w:tc>
        <w:tc>
          <w:tcPr>
            <w:tcW w:type="dxa" w:w="4153"/>
          </w:tcPr>
          <w:p>
            <w:pPr>
              <w:pStyle w:val="null3"/>
              <w:jc w:val="both"/>
            </w:pPr>
            <w:r>
              <w:rPr/>
              <w:t>根据各投标人对招标文件《第五章、招标内容及要求》二、技术和服务要求中各项技术要求的逐项应答情况并结合相关佐证材料（若有）由评标委员会进行评分：完全满足招标文件要求的得33分，标注评标项的技术参数（共计11条），每负偏离一项扣3分，扣完为止。正偏离不加分。其中标带“★”号为实质性响应条款，任一细项不满足（负偏离）均视为未响应招标文件实质性要求无效投标处理。</w:t>
            </w:r>
          </w:p>
        </w:tc>
      </w:tr>
      <w:tr>
        <w:tc>
          <w:tcPr>
            <w:tcW w:type="dxa" w:w="3322"/>
          </w:tcPr>
          <w:p>
            <w:pPr>
              <w:pStyle w:val="null3"/>
              <w:jc w:val="both"/>
            </w:pPr>
            <w:r>
              <w:rPr/>
              <w:t>施工组织方案</w:t>
            </w:r>
          </w:p>
        </w:tc>
        <w:tc>
          <w:tcPr>
            <w:tcW w:type="dxa" w:w="831"/>
          </w:tcPr>
          <w:p>
            <w:pPr>
              <w:pStyle w:val="null3"/>
              <w:jc w:val="right"/>
            </w:pPr>
            <w:r>
              <w:rPr/>
              <w:t>3.00</w:t>
            </w:r>
          </w:p>
        </w:tc>
        <w:tc>
          <w:tcPr>
            <w:tcW w:type="dxa" w:w="4153"/>
          </w:tcPr>
          <w:p>
            <w:pPr>
              <w:pStyle w:val="null3"/>
              <w:jc w:val="both"/>
            </w:pPr>
            <w:r>
              <w:rPr/>
              <w:t>根据各投标人针对本项目提供的施工组织方案由评标委员会进行评分：施工组织方案完整合理且可行性强，完全符合本项目实际情况的得3分；施工组织方案详细并具有一定可行性，部分符合本项目实际情况的得2分；施工组织方案仅简单描述项目实际情况，存在可能影响项目质量的得1分；未提供不得分。</w:t>
            </w:r>
          </w:p>
        </w:tc>
      </w:tr>
      <w:tr>
        <w:tc>
          <w:tcPr>
            <w:tcW w:type="dxa" w:w="3322"/>
          </w:tcPr>
          <w:p>
            <w:pPr>
              <w:pStyle w:val="null3"/>
              <w:jc w:val="both"/>
            </w:pPr>
            <w:r>
              <w:rPr/>
              <w:t>施工程序和施工方法</w:t>
            </w:r>
          </w:p>
        </w:tc>
        <w:tc>
          <w:tcPr>
            <w:tcW w:type="dxa" w:w="831"/>
          </w:tcPr>
          <w:p>
            <w:pPr>
              <w:pStyle w:val="null3"/>
              <w:jc w:val="right"/>
            </w:pPr>
            <w:r>
              <w:rPr/>
              <w:t>3.00</w:t>
            </w:r>
          </w:p>
        </w:tc>
        <w:tc>
          <w:tcPr>
            <w:tcW w:type="dxa" w:w="4153"/>
          </w:tcPr>
          <w:p>
            <w:pPr>
              <w:pStyle w:val="null3"/>
              <w:jc w:val="both"/>
            </w:pPr>
            <w:r>
              <w:rPr/>
              <w:t>根据各投标人针对本项目提供的施工程序和施工方法，由评标委员会进行评分：方案内容详实、可行性强、切合项目实际的得3分；方案内容详细，基本上符合项目实际的得2分；内容基本符合事实，有所缺漏，具备一定的可靠性的得1分，未提供或不符合要求的本项不得分。</w:t>
            </w:r>
          </w:p>
        </w:tc>
      </w:tr>
      <w:tr>
        <w:tc>
          <w:tcPr>
            <w:tcW w:type="dxa" w:w="3322"/>
          </w:tcPr>
          <w:p>
            <w:pPr>
              <w:pStyle w:val="null3"/>
              <w:jc w:val="both"/>
            </w:pPr>
            <w:r>
              <w:rPr/>
              <w:t>施工进度方案</w:t>
            </w:r>
          </w:p>
        </w:tc>
        <w:tc>
          <w:tcPr>
            <w:tcW w:type="dxa" w:w="831"/>
          </w:tcPr>
          <w:p>
            <w:pPr>
              <w:pStyle w:val="null3"/>
              <w:jc w:val="right"/>
            </w:pPr>
            <w:r>
              <w:rPr/>
              <w:t>3.00</w:t>
            </w:r>
          </w:p>
        </w:tc>
        <w:tc>
          <w:tcPr>
            <w:tcW w:type="dxa" w:w="4153"/>
          </w:tcPr>
          <w:p>
            <w:pPr>
              <w:pStyle w:val="null3"/>
              <w:jc w:val="both"/>
            </w:pPr>
            <w:r>
              <w:rPr/>
              <w:t>根据各投标人针对本项目提供的施工进度方案（包括但不限于时间进度安排等方面），由评标委员会进行评分：有根据本项目工期要求，制定完善的施工计划，各分部工程进度安排合理有序，有考虑各工序间的衔接，突发意外情况（如台风、停水停电、采购人工作期间不允许产生较大噪音等）的停工及赶工，并制定相应的工期保障及赶工计划得3分；计划有施工进度表或工期网络计划、各分部工程进度，基本能够确保按期完工的得2分；计划有施工进度表或工期网络计划、各分部工程进度，但不一定能够确保按期完工的得1分；未提供不得分。</w:t>
            </w:r>
          </w:p>
        </w:tc>
      </w:tr>
      <w:tr>
        <w:tc>
          <w:tcPr>
            <w:tcW w:type="dxa" w:w="3322"/>
          </w:tcPr>
          <w:p>
            <w:pPr>
              <w:pStyle w:val="null3"/>
              <w:jc w:val="both"/>
            </w:pPr>
            <w:r>
              <w:rPr/>
              <w:t>质量控制方案</w:t>
            </w:r>
          </w:p>
        </w:tc>
        <w:tc>
          <w:tcPr>
            <w:tcW w:type="dxa" w:w="831"/>
          </w:tcPr>
          <w:p>
            <w:pPr>
              <w:pStyle w:val="null3"/>
              <w:jc w:val="right"/>
            </w:pPr>
            <w:r>
              <w:rPr/>
              <w:t>3.00</w:t>
            </w:r>
          </w:p>
        </w:tc>
        <w:tc>
          <w:tcPr>
            <w:tcW w:type="dxa" w:w="4153"/>
          </w:tcPr>
          <w:p>
            <w:pPr>
              <w:pStyle w:val="null3"/>
              <w:jc w:val="both"/>
            </w:pPr>
            <w:r>
              <w:rPr/>
              <w:t>根据各投标人针对本项目提供的质量控制方案（包括但不限于项目科学、合理、可行性、匹配性等方面）由评标委员会进行评分：方案内容详实、合理、可行性强、切合项目实际的得3分；方案内容详细，基本上符合项目实际的得2分；内容基本符合事实，有所缺漏，具备一定的可靠性的得1分，未提供或不符合要求的本项不得分。</w:t>
            </w:r>
          </w:p>
        </w:tc>
      </w:tr>
      <w:tr>
        <w:tc>
          <w:tcPr>
            <w:tcW w:type="dxa" w:w="3322"/>
          </w:tcPr>
          <w:p>
            <w:pPr>
              <w:pStyle w:val="null3"/>
              <w:jc w:val="both"/>
            </w:pPr>
            <w:r>
              <w:rPr/>
              <w:t>安全用电技术措施</w:t>
            </w:r>
          </w:p>
        </w:tc>
        <w:tc>
          <w:tcPr>
            <w:tcW w:type="dxa" w:w="831"/>
          </w:tcPr>
          <w:p>
            <w:pPr>
              <w:pStyle w:val="null3"/>
              <w:jc w:val="right"/>
            </w:pPr>
            <w:r>
              <w:rPr/>
              <w:t>3.00</w:t>
            </w:r>
          </w:p>
        </w:tc>
        <w:tc>
          <w:tcPr>
            <w:tcW w:type="dxa" w:w="4153"/>
          </w:tcPr>
          <w:p>
            <w:pPr>
              <w:pStyle w:val="null3"/>
              <w:jc w:val="both"/>
            </w:pPr>
            <w:r>
              <w:rPr/>
              <w:t>根据各投标人针对本项目提供的安全用电技术措施，由评标委员会进行评分：措施内容详实、可行性强、切合项目实际的得3分；措施内容详细，基本上符合项目实际的得2分；措施内容基本符合事实，有所缺漏，具备一定的可 靠性的得1分，未提供或不符合要求的本项不得分。</w:t>
            </w:r>
          </w:p>
        </w:tc>
      </w:tr>
      <w:tr>
        <w:tc>
          <w:tcPr>
            <w:tcW w:type="dxa" w:w="3322"/>
          </w:tcPr>
          <w:p>
            <w:pPr>
              <w:pStyle w:val="null3"/>
              <w:jc w:val="both"/>
            </w:pPr>
            <w:r>
              <w:rPr/>
              <w:t>灯组深化设计</w:t>
            </w:r>
          </w:p>
        </w:tc>
        <w:tc>
          <w:tcPr>
            <w:tcW w:type="dxa" w:w="831"/>
          </w:tcPr>
          <w:p>
            <w:pPr>
              <w:pStyle w:val="null3"/>
              <w:jc w:val="right"/>
            </w:pPr>
            <w:r>
              <w:rPr/>
              <w:t>3.00</w:t>
            </w:r>
          </w:p>
        </w:tc>
        <w:tc>
          <w:tcPr>
            <w:tcW w:type="dxa" w:w="4153"/>
          </w:tcPr>
          <w:p>
            <w:pPr>
              <w:pStyle w:val="null3"/>
              <w:jc w:val="both"/>
            </w:pPr>
            <w:r>
              <w:rPr/>
              <w:t>根据各投标人在初步设计方案的基础条件下，提供的灯组深化设计方案（包括但不限于灯组造型、结构、效果、整体布局），由评标委员会进行评分：各灯组造型新颖，美观，效果表现鲜明，整体布局合理，科学，与初设思路贴合，完全符合实际要求的得3分；各灯组的效果表现较强，整体布局较合理科学，基本符合实际要求的得2分；各灯组的效果表现一般，整体布局一般，符合实际要求的得1分，未提供或不符合要求的本项不得分。</w:t>
            </w:r>
          </w:p>
        </w:tc>
      </w:tr>
      <w:tr>
        <w:tc>
          <w:tcPr>
            <w:tcW w:type="dxa" w:w="3322"/>
          </w:tcPr>
          <w:p>
            <w:pPr>
              <w:pStyle w:val="null3"/>
              <w:jc w:val="both"/>
            </w:pPr>
            <w:r>
              <w:rPr/>
              <w:t>夜景灯饰等选型、选材方案</w:t>
            </w:r>
          </w:p>
        </w:tc>
        <w:tc>
          <w:tcPr>
            <w:tcW w:type="dxa" w:w="831"/>
          </w:tcPr>
          <w:p>
            <w:pPr>
              <w:pStyle w:val="null3"/>
              <w:jc w:val="right"/>
            </w:pPr>
            <w:r>
              <w:rPr/>
              <w:t>3.00</w:t>
            </w:r>
          </w:p>
        </w:tc>
        <w:tc>
          <w:tcPr>
            <w:tcW w:type="dxa" w:w="4153"/>
          </w:tcPr>
          <w:p>
            <w:pPr>
              <w:pStyle w:val="null3"/>
              <w:jc w:val="both"/>
            </w:pPr>
            <w:r>
              <w:rPr/>
              <w:t>根据各投标人针对本项目提供的夜景灯饰等选型、选材情况，由评标委员会进行评分：选材优质，材质使用寿命长，安全性高，采用节能环保的得3分；选材较优质，材质使用寿命较长，安全性高，部分材质采用节能环保的得2分；选材较优质，材质使用寿命较长，安全性高的得1分，须提供灯饰的品牌、型号、规格尺寸及节能环保证明材料（若有）等相关证明材料复印件，未提供或不符合要求的本项不得分。</w:t>
            </w:r>
          </w:p>
        </w:tc>
      </w:tr>
      <w:tr>
        <w:tc>
          <w:tcPr>
            <w:tcW w:type="dxa" w:w="3322"/>
          </w:tcPr>
          <w:p>
            <w:pPr>
              <w:pStyle w:val="null3"/>
              <w:jc w:val="both"/>
            </w:pPr>
            <w:r>
              <w:rPr/>
              <w:t>配套配件选材方案</w:t>
            </w:r>
          </w:p>
        </w:tc>
        <w:tc>
          <w:tcPr>
            <w:tcW w:type="dxa" w:w="831"/>
          </w:tcPr>
          <w:p>
            <w:pPr>
              <w:pStyle w:val="null3"/>
              <w:jc w:val="right"/>
            </w:pPr>
            <w:r>
              <w:rPr/>
              <w:t>3.00</w:t>
            </w:r>
          </w:p>
        </w:tc>
        <w:tc>
          <w:tcPr>
            <w:tcW w:type="dxa" w:w="4153"/>
          </w:tcPr>
          <w:p>
            <w:pPr>
              <w:pStyle w:val="null3"/>
              <w:jc w:val="both"/>
            </w:pPr>
            <w:r>
              <w:rPr/>
              <w:t>根据各投标人针对本项目提供的配套、配件（包括但不限于电缆、插座、开关等）等选材情况，由评标委员会进行评分：选材优质，材质使用寿命长，安全性高，采用节能环保的得3分；选材较优质，材质使用寿命较长，安全性高，部分材质采用节能环保的得2分；选材较优质，材质使用寿命较长，安全性高的得1分；（注：须提供配套配件的品牌、型号、规格尺寸及节能环保证明材料（若有）等相关证明材料复印件，未提供或不符合要求的本项不得分）</w:t>
            </w:r>
          </w:p>
        </w:tc>
      </w:tr>
      <w:tr>
        <w:tc>
          <w:tcPr>
            <w:tcW w:type="dxa" w:w="3322"/>
          </w:tcPr>
          <w:p>
            <w:pPr>
              <w:pStyle w:val="null3"/>
              <w:jc w:val="both"/>
            </w:pPr>
            <w:r>
              <w:rPr/>
              <w:t>文明施工、安全施工</w:t>
            </w:r>
          </w:p>
        </w:tc>
        <w:tc>
          <w:tcPr>
            <w:tcW w:type="dxa" w:w="831"/>
          </w:tcPr>
          <w:p>
            <w:pPr>
              <w:pStyle w:val="null3"/>
              <w:jc w:val="right"/>
            </w:pPr>
            <w:r>
              <w:rPr/>
              <w:t>3.00</w:t>
            </w:r>
          </w:p>
        </w:tc>
        <w:tc>
          <w:tcPr>
            <w:tcW w:type="dxa" w:w="4153"/>
          </w:tcPr>
          <w:p>
            <w:pPr>
              <w:pStyle w:val="null3"/>
              <w:jc w:val="both"/>
            </w:pPr>
            <w:r>
              <w:rPr/>
              <w:t>根据各投标人针对本项目提供的文明施工、安全施工方案，由评标委员会进行评分：方案科学详尽、符合本项目实际情况，保证项目顺利实施的得3分；方案合理，部分符合本项目实际情况，不影响项目顺利实施得2分；方案描述简单，存在影响项目顺利实施可能性的得1分；未提供不得分。</w:t>
            </w:r>
          </w:p>
        </w:tc>
      </w:tr>
      <w:tr>
        <w:tc>
          <w:tcPr>
            <w:tcW w:type="dxa" w:w="3322"/>
          </w:tcPr>
          <w:p>
            <w:pPr>
              <w:pStyle w:val="null3"/>
              <w:jc w:val="both"/>
            </w:pPr>
            <w:r>
              <w:rPr/>
              <w:t>材料管理措施</w:t>
            </w:r>
          </w:p>
        </w:tc>
        <w:tc>
          <w:tcPr>
            <w:tcW w:type="dxa" w:w="831"/>
          </w:tcPr>
          <w:p>
            <w:pPr>
              <w:pStyle w:val="null3"/>
              <w:jc w:val="right"/>
            </w:pPr>
            <w:r>
              <w:rPr/>
              <w:t>3.00</w:t>
            </w:r>
          </w:p>
        </w:tc>
        <w:tc>
          <w:tcPr>
            <w:tcW w:type="dxa" w:w="4153"/>
          </w:tcPr>
          <w:p>
            <w:pPr>
              <w:pStyle w:val="null3"/>
              <w:jc w:val="both"/>
            </w:pPr>
            <w:r>
              <w:rPr/>
              <w:t>根据各投标人针对本项目提供的材料管理措施方案（包括但不限于施工材料进场安排的合理性，施工材料来源的合法性，确保原材的品质的来源方案等方面）由评标委员会进行评分：措施内容详实、合理、可行性强、切合项目实际，材料管理措施系统化、程序化、规范化的得3分；措施内容详细，具有一定可行性，基本上符合项目实际的得2分；措施内容基本符合事实，有所缺漏，具备一定的可靠性的得1分，未提供或不符合要求的本项不得分。</w:t>
            </w:r>
          </w:p>
        </w:tc>
      </w:tr>
      <w:tr>
        <w:tc>
          <w:tcPr>
            <w:tcW w:type="dxa" w:w="3322"/>
          </w:tcPr>
          <w:p>
            <w:pPr>
              <w:pStyle w:val="null3"/>
              <w:jc w:val="both"/>
            </w:pPr>
            <w:r>
              <w:rPr/>
              <w:t>环卫管理</w:t>
            </w:r>
          </w:p>
        </w:tc>
        <w:tc>
          <w:tcPr>
            <w:tcW w:type="dxa" w:w="831"/>
          </w:tcPr>
          <w:p>
            <w:pPr>
              <w:pStyle w:val="null3"/>
              <w:jc w:val="right"/>
            </w:pPr>
            <w:r>
              <w:rPr/>
              <w:t>3.00</w:t>
            </w:r>
          </w:p>
        </w:tc>
        <w:tc>
          <w:tcPr>
            <w:tcW w:type="dxa" w:w="4153"/>
          </w:tcPr>
          <w:p>
            <w:pPr>
              <w:pStyle w:val="null3"/>
              <w:jc w:val="both"/>
            </w:pPr>
            <w:r>
              <w:rPr/>
              <w:t>根据各投标人针对本项目提供的环卫管理方案，由评标委员会进行评分：方案内容详实、合理、可行性强、切合项目实际的得3分；方案内容详细，基本上符合项目实际的得2分；内容基本符合事实，有所缺漏，具备一定的可靠性的得1分，未提供或不符合要求的本项不得分。</w:t>
            </w:r>
          </w:p>
        </w:tc>
      </w:tr>
      <w:tr>
        <w:tc>
          <w:tcPr>
            <w:tcW w:type="dxa" w:w="3322"/>
          </w:tcPr>
          <w:p>
            <w:pPr>
              <w:pStyle w:val="null3"/>
              <w:jc w:val="both"/>
            </w:pPr>
            <w:r>
              <w:rPr/>
              <w:t>应急处理措施</w:t>
            </w:r>
          </w:p>
        </w:tc>
        <w:tc>
          <w:tcPr>
            <w:tcW w:type="dxa" w:w="831"/>
          </w:tcPr>
          <w:p>
            <w:pPr>
              <w:pStyle w:val="null3"/>
              <w:jc w:val="right"/>
            </w:pPr>
            <w:r>
              <w:rPr/>
              <w:t>3.00</w:t>
            </w:r>
          </w:p>
        </w:tc>
        <w:tc>
          <w:tcPr>
            <w:tcW w:type="dxa" w:w="4153"/>
          </w:tcPr>
          <w:p>
            <w:pPr>
              <w:pStyle w:val="null3"/>
              <w:jc w:val="both"/>
            </w:pPr>
            <w:r>
              <w:rPr/>
              <w:t>根据各投标人针对本项目提供的实施过程中突发事件（包含：火灾、踩踏等）的应急处理措施，与采购人配合措施科学合理等方面，由评标委员会进行评分：突发事件分析全面到位有针对性，应急处理措施完整，调理清晰，可行性强的得3分；突发事件分析基本到位，能针对性提出预案，措施相对完整，可行性一般的得2分；预案无针对性，措施基本可行的得1分，未提供或不符合要求的本项不得分。</w:t>
            </w:r>
          </w:p>
        </w:tc>
      </w:tr>
      <w:tr>
        <w:tc>
          <w:tcPr>
            <w:tcW w:type="dxa" w:w="3322"/>
          </w:tcPr>
          <w:p>
            <w:pPr>
              <w:pStyle w:val="null3"/>
              <w:jc w:val="both"/>
            </w:pPr>
            <w:r>
              <w:rPr/>
              <w:t>项目标准质量保证及质量违约承诺</w:t>
            </w:r>
          </w:p>
        </w:tc>
        <w:tc>
          <w:tcPr>
            <w:tcW w:type="dxa" w:w="831"/>
          </w:tcPr>
          <w:p>
            <w:pPr>
              <w:pStyle w:val="null3"/>
              <w:jc w:val="right"/>
            </w:pPr>
            <w:r>
              <w:rPr/>
              <w:t>3.00</w:t>
            </w:r>
          </w:p>
        </w:tc>
        <w:tc>
          <w:tcPr>
            <w:tcW w:type="dxa" w:w="4153"/>
          </w:tcPr>
          <w:p>
            <w:pPr>
              <w:pStyle w:val="null3"/>
              <w:jc w:val="both"/>
            </w:pPr>
            <w:r>
              <w:rPr/>
              <w:t>根据各投标人针对本项目提供的项目标准质量保证和质量违约承诺等情况，由评标委员会进行横向比较并打分：由评标委员会进行评分：方案内容详实、可行性强、切合项目实际的得3分；方案内容详细，基本上符合项目实际的得2分；内容基本符合事实，有所缺漏，具备一定的可靠性的得1分，,未提供或不符合要求的本项不得分。</w:t>
            </w:r>
          </w:p>
        </w:tc>
      </w:tr>
      <w:tr>
        <w:tc>
          <w:tcPr>
            <w:tcW w:type="dxa" w:w="3322"/>
          </w:tcPr>
          <w:p>
            <w:pPr>
              <w:pStyle w:val="null3"/>
              <w:jc w:val="both"/>
            </w:pPr>
            <w:r>
              <w:rPr/>
              <w:t>施工团队人员配置</w:t>
            </w:r>
          </w:p>
        </w:tc>
        <w:tc>
          <w:tcPr>
            <w:tcW w:type="dxa" w:w="831"/>
          </w:tcPr>
          <w:p>
            <w:pPr>
              <w:pStyle w:val="null3"/>
              <w:jc w:val="right"/>
            </w:pPr>
            <w:r>
              <w:rPr/>
              <w:t>3.00</w:t>
            </w:r>
          </w:p>
        </w:tc>
        <w:tc>
          <w:tcPr>
            <w:tcW w:type="dxa" w:w="4153"/>
          </w:tcPr>
          <w:p>
            <w:pPr>
              <w:pStyle w:val="null3"/>
              <w:jc w:val="both"/>
            </w:pPr>
            <w:r>
              <w:rPr/>
              <w:t>根据各投标人针对本项目提供的施工团队人员配置（包括人员专业资质、工作年限等）情况，由评标委员会进行评分：人员配置合理，完全符合项目需求的得3分；人员配置基本合理的得2分；人员配置有缺漏的得1分，未提供不得分。</w:t>
            </w:r>
          </w:p>
        </w:tc>
      </w:tr>
      <w:tr>
        <w:tc>
          <w:tcPr>
            <w:tcW w:type="dxa" w:w="3322"/>
          </w:tcPr>
          <w:p>
            <w:pPr>
              <w:pStyle w:val="null3"/>
              <w:jc w:val="both"/>
            </w:pPr>
            <w:r>
              <w:rPr/>
              <w:t>撤场方案</w:t>
            </w:r>
          </w:p>
        </w:tc>
        <w:tc>
          <w:tcPr>
            <w:tcW w:type="dxa" w:w="831"/>
          </w:tcPr>
          <w:p>
            <w:pPr>
              <w:pStyle w:val="null3"/>
              <w:jc w:val="right"/>
            </w:pPr>
            <w:r>
              <w:rPr/>
              <w:t>3.00</w:t>
            </w:r>
          </w:p>
        </w:tc>
        <w:tc>
          <w:tcPr>
            <w:tcW w:type="dxa" w:w="4153"/>
          </w:tcPr>
          <w:p>
            <w:pPr>
              <w:pStyle w:val="null3"/>
              <w:jc w:val="both"/>
            </w:pPr>
            <w:r>
              <w:rPr/>
              <w:t>根据各投标人针对本项目提供的撤场整体方案（包括但不仅限于撤场时间、撤场围蔽、堆放物料、清拆钢管及大型灯组、处理易碎物品等计划），由评标委员会进行评分：方案完整，保障措施具体齐全，可操作性强的得3分；方案完整，保障措施一般，可操作性一般得2分；未针对性的提供方案，保障措施一般，可操作性差的得1分，未提供的不得分。</w:t>
            </w:r>
          </w:p>
        </w:tc>
      </w:tr>
      <w:tr>
        <w:tc>
          <w:tcPr>
            <w:tcW w:type="dxa" w:w="3322"/>
          </w:tcPr>
          <w:p>
            <w:pPr>
              <w:pStyle w:val="null3"/>
              <w:jc w:val="both"/>
            </w:pPr>
            <w:r>
              <w:rPr/>
              <w:t>安全责任</w:t>
            </w:r>
          </w:p>
        </w:tc>
        <w:tc>
          <w:tcPr>
            <w:tcW w:type="dxa" w:w="831"/>
          </w:tcPr>
          <w:p>
            <w:pPr>
              <w:pStyle w:val="null3"/>
              <w:jc w:val="right"/>
            </w:pPr>
            <w:r>
              <w:rPr/>
              <w:t>3.00</w:t>
            </w:r>
          </w:p>
        </w:tc>
        <w:tc>
          <w:tcPr>
            <w:tcW w:type="dxa" w:w="4153"/>
          </w:tcPr>
          <w:p>
            <w:pPr>
              <w:pStyle w:val="null3"/>
              <w:jc w:val="both"/>
            </w:pPr>
            <w:r>
              <w:rPr/>
              <w:t>根据各投标人针对本项目提供的安全责任、重大活动组织保障措施情况，由评标委员会进行评分：措施内容详实、可行性强、切合项目实际的得3分；措施内容详细，基本上符合项目实际的得2分；措施内容基本符合事实，有所缺漏，具备一定的可靠性的得1分,未提供或不符合要求的本项不得分。</w:t>
            </w:r>
          </w:p>
        </w:tc>
      </w:tr>
    </w:tbl>
    <w:p>
      <w:pPr>
        <w:pStyle w:val="null3"/>
        <w:jc w:val="both"/>
      </w:pPr>
      <w:r>
        <w:rPr/>
        <w:t>商务项（F3×A3）满分为9.00分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响应承诺</w:t>
            </w:r>
          </w:p>
        </w:tc>
        <w:tc>
          <w:tcPr>
            <w:tcW w:type="dxa" w:w="831"/>
          </w:tcPr>
          <w:p>
            <w:pPr>
              <w:pStyle w:val="null3"/>
              <w:jc w:val="right"/>
            </w:pPr>
            <w:r>
              <w:rPr/>
              <w:t>3.00</w:t>
            </w:r>
          </w:p>
        </w:tc>
        <w:tc>
          <w:tcPr>
            <w:tcW w:type="dxa" w:w="4153"/>
          </w:tcPr>
          <w:p>
            <w:pPr>
              <w:pStyle w:val="null3"/>
              <w:jc w:val="both"/>
            </w:pPr>
            <w:r>
              <w:rPr/>
              <w:t>根据投标人承诺在接到采购人通知后：在0.5小时内响应服务，2小时内到达现场的得3分；在1小时时内响应服务承诺，3小时内到达现场的得2分；其他得1分；本项满分3分。（注：投标人须提供承诺函并加盖公章，未提供不得分）</w:t>
            </w:r>
          </w:p>
        </w:tc>
      </w:tr>
      <w:tr>
        <w:tc>
          <w:tcPr>
            <w:tcW w:type="dxa" w:w="3322"/>
          </w:tcPr>
          <w:p>
            <w:pPr>
              <w:pStyle w:val="null3"/>
              <w:jc w:val="both"/>
            </w:pPr>
            <w:r>
              <w:rPr/>
              <w:t>无合同违约行为承诺</w:t>
            </w:r>
          </w:p>
        </w:tc>
        <w:tc>
          <w:tcPr>
            <w:tcW w:type="dxa" w:w="831"/>
          </w:tcPr>
          <w:p>
            <w:pPr>
              <w:pStyle w:val="null3"/>
              <w:jc w:val="right"/>
            </w:pPr>
            <w:r>
              <w:rPr/>
              <w:t>3.00</w:t>
            </w:r>
          </w:p>
        </w:tc>
        <w:tc>
          <w:tcPr>
            <w:tcW w:type="dxa" w:w="4153"/>
          </w:tcPr>
          <w:p>
            <w:pPr>
              <w:pStyle w:val="null3"/>
              <w:jc w:val="both"/>
            </w:pPr>
            <w:r>
              <w:rPr/>
              <w:t>投标人自2020年1月1日以来在经营活动中无合同违约行为的得3分。（注：投标人须提供承诺函并加盖公章，未提供不得分）</w:t>
            </w:r>
          </w:p>
        </w:tc>
      </w:tr>
      <w:tr>
        <w:tc>
          <w:tcPr>
            <w:tcW w:type="dxa" w:w="3322"/>
          </w:tcPr>
          <w:p>
            <w:pPr>
              <w:pStyle w:val="null3"/>
              <w:jc w:val="both"/>
            </w:pPr>
            <w:r>
              <w:rPr/>
              <w:t>售后服务承诺</w:t>
            </w:r>
          </w:p>
        </w:tc>
        <w:tc>
          <w:tcPr>
            <w:tcW w:type="dxa" w:w="831"/>
          </w:tcPr>
          <w:p>
            <w:pPr>
              <w:pStyle w:val="null3"/>
              <w:jc w:val="right"/>
            </w:pPr>
            <w:r>
              <w:rPr/>
              <w:t>3.00</w:t>
            </w:r>
          </w:p>
        </w:tc>
        <w:tc>
          <w:tcPr>
            <w:tcW w:type="dxa" w:w="4153"/>
          </w:tcPr>
          <w:p>
            <w:pPr>
              <w:pStyle w:val="null3"/>
              <w:jc w:val="both"/>
            </w:pPr>
            <w:r>
              <w:rPr/>
              <w:t>根据投标人提供的售后服务保证及违约责任承诺（须至少包括：针对本项目所提出的售后保证措施、售后违约责任承诺等具体内容），满足项目基本要求的情况下，由评标委员会进行评分：承诺及措施详实、阐述清晰、可行、可操作性强，切合项目实际的得3分； 方案阐述合理，虽部分内容表述有所欠缺，但总体符合项目实际、具有一定可操作性的得2分；方案与本项目实际情况存在一定偏差，但内容基本合理的得1分； 未提供方案或不满足要求的不得分。</w:t>
            </w:r>
          </w:p>
        </w:tc>
      </w:tr>
    </w:tbl>
    <w:p>
      <w:pPr>
        <w:pStyle w:val="null3"/>
        <w:jc w:val="both"/>
      </w:pPr>
      <w:r>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节能、环境标志产品</w:t>
            </w:r>
          </w:p>
        </w:tc>
        <w:tc>
          <w:tcPr>
            <w:tcW w:type="dxa" w:w="831"/>
          </w:tcPr>
          <w:p>
            <w:pPr>
              <w:pStyle w:val="null3"/>
              <w:jc w:val="right"/>
            </w:pPr>
            <w:r>
              <w:rPr/>
              <w:t>7.28</w:t>
            </w:r>
          </w:p>
        </w:tc>
        <w:tc>
          <w:tcPr>
            <w:tcW w:type="dxa" w:w="4153"/>
          </w:tcPr>
          <w:p>
            <w:pPr>
              <w:pStyle w:val="null3"/>
              <w:jc w:val="both"/>
            </w:pPr>
            <w:r>
              <w:rPr/>
              <w:t>a1若同一采购包内节能、环境标志产品报价总金额低于该采购包报价总金额20%（含20%）以下，将分别给予节能、环境标志产品价格项（F1×A1，按照满分计）和技术项（F2×A2，按照满分计）4%的加分；若同一采购包内节能、环境标志产品报价总金额占该采购包报价总金额20%-50%（含50%），将分别给予节能、环境标志产品价格项（F1×A1，按照满分计）和技术项（F2×A2，按照满分计）6%的加分；若同一采购包内节能、环境标志产品报价总金额占该采购包报价总金额50%以上的，将分别给予节能、环境标志产品价格项（F1×A1，按照满分计）和技术项（F2×A2，按照满分计）8%的加分。a2若节能、环境标志产品仅是构成投标产品的部件、组件或零件，则该投标产品不享受鼓励优惠政策。同一品目中各认证证书不重复计算加分。强制类节能产品不享受加分。</w:t>
            </w:r>
          </w:p>
        </w:tc>
      </w:tr>
    </w:tbl>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宋体" w:hAnsi="宋体" w:cs="宋体" w:eastAsia="宋体"/>
          <w:sz w:val="24"/>
        </w:rPr>
        <w:t>本次项目为</w:t>
      </w:r>
      <w:r>
        <w:rPr>
          <w:rFonts w:ascii="宋体" w:hAnsi="宋体" w:cs="宋体" w:eastAsia="宋体"/>
          <w:sz w:val="24"/>
        </w:rPr>
        <w:t>霞浦县城区</w:t>
      </w:r>
      <w:r>
        <w:rPr>
          <w:rFonts w:ascii="宋体" w:hAnsi="宋体" w:cs="宋体" w:eastAsia="宋体"/>
          <w:sz w:val="24"/>
        </w:rPr>
        <w:t>2024年春节街景氛围工程</w:t>
      </w:r>
      <w:r>
        <w:rPr>
          <w:rFonts w:ascii="宋体" w:hAnsi="宋体" w:cs="宋体" w:eastAsia="宋体"/>
          <w:sz w:val="24"/>
        </w:rPr>
        <w:t>，投标人应根据招标文件所提出的设计、施工、安装服务要求，提供最具性价比的货物和服务进来投标，以充分显示贵公司的实力。</w:t>
      </w:r>
    </w:p>
    <w:tbl>
      <w:tblPr>
        <w:tblW w:w="0" w:type="auto"/>
        <w:tblBorders>
          <w:top w:val="single" w:color="000000" w:sz="4"/>
          <w:left w:val="single" w:color="000000" w:sz="4"/>
          <w:bottom w:val="single" w:color="000000" w:sz="4"/>
          <w:right w:val="single" w:color="000000" w:sz="4"/>
          <w:insideH w:val="single"/>
          <w:insideV w:val="single"/>
        </w:tblBorders>
      </w:tblPr>
      <w:tblGrid>
        <w:gridCol w:w="675"/>
        <w:gridCol w:w="1286"/>
        <w:gridCol w:w="3665"/>
        <w:gridCol w:w="2521"/>
      </w:tblGrid>
      <w:tr>
        <w:tc>
          <w:tcPr>
            <w:tcW w:type="dxa" w:w="67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sz w:val="24"/>
              </w:rPr>
              <w:t>序号</w:t>
            </w:r>
          </w:p>
        </w:tc>
        <w:tc>
          <w:tcPr>
            <w:tcW w:type="dxa" w:w="1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sz w:val="24"/>
              </w:rPr>
              <w:t>项目名称</w:t>
            </w:r>
          </w:p>
        </w:tc>
        <w:tc>
          <w:tcPr>
            <w:tcW w:type="dxa" w:w="366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sz w:val="24"/>
              </w:rPr>
              <w:t>布置地点（必须包括但不限于</w:t>
            </w:r>
            <w:r>
              <w:rPr>
                <w:rFonts w:ascii="宋体" w:hAnsi="宋体" w:cs="宋体" w:eastAsia="宋体"/>
                <w:sz w:val="24"/>
              </w:rPr>
              <w:t>)</w:t>
            </w:r>
          </w:p>
        </w:tc>
        <w:tc>
          <w:tcPr>
            <w:tcW w:type="dxa" w:w="252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sz w:val="24"/>
              </w:rPr>
              <w:t>服务时间</w:t>
            </w:r>
          </w:p>
        </w:tc>
      </w:tr>
      <w:tr>
        <w:tc>
          <w:tcPr>
            <w:tcW w:type="dxa" w:w="67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sz w:val="24"/>
              </w:rPr>
              <w:t>1</w:t>
            </w:r>
          </w:p>
        </w:tc>
        <w:tc>
          <w:tcPr>
            <w:tcW w:type="dxa" w:w="1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sz w:val="24"/>
              </w:rPr>
              <w:t>霞浦县城区</w:t>
            </w:r>
            <w:r>
              <w:rPr>
                <w:rFonts w:ascii="宋体" w:hAnsi="宋体" w:cs="宋体" w:eastAsia="宋体"/>
                <w:sz w:val="24"/>
              </w:rPr>
              <w:t>2024年春节街景氛围工程</w:t>
            </w:r>
          </w:p>
        </w:tc>
        <w:tc>
          <w:tcPr>
            <w:tcW w:type="dxa" w:w="366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calibri" w:hAnsi="calibri" w:cs="calibri" w:eastAsia="calibri"/>
                <w:sz w:val="24"/>
              </w:rPr>
              <w:t>1</w:t>
            </w:r>
            <w:r>
              <w:rPr>
                <w:rFonts w:ascii="宋体" w:hAnsi="宋体" w:cs="宋体" w:eastAsia="宋体"/>
                <w:sz w:val="24"/>
              </w:rPr>
              <w:t>、美陈布置：霞浦高速收费出口、九大馆广场、县政府入口、文化广场。</w:t>
            </w:r>
          </w:p>
          <w:p>
            <w:pPr>
              <w:pStyle w:val="null3"/>
              <w:ind w:firstLine="380"/>
              <w:jc w:val="center"/>
            </w:pPr>
            <w:r>
              <w:rPr>
                <w:rFonts w:ascii="calibri" w:hAnsi="calibri" w:cs="calibri" w:eastAsia="calibri"/>
                <w:sz w:val="24"/>
              </w:rPr>
              <w:t>2</w:t>
            </w:r>
            <w:r>
              <w:rPr>
                <w:rFonts w:ascii="宋体" w:hAnsi="宋体" w:cs="宋体" w:eastAsia="宋体"/>
                <w:sz w:val="24"/>
              </w:rPr>
              <w:t>、节日灯光秀：福宁文化公园主入口、三河湿地公园亲水舞台。</w:t>
            </w:r>
          </w:p>
          <w:p>
            <w:pPr>
              <w:pStyle w:val="null3"/>
              <w:ind w:firstLine="380"/>
              <w:jc w:val="center"/>
            </w:pPr>
            <w:r>
              <w:rPr>
                <w:rFonts w:ascii="calibri" w:hAnsi="calibri" w:cs="calibri" w:eastAsia="calibri"/>
                <w:sz w:val="24"/>
              </w:rPr>
              <w:t>3</w:t>
            </w:r>
            <w:r>
              <w:rPr>
                <w:rFonts w:ascii="宋体" w:hAnsi="宋体" w:cs="宋体" w:eastAsia="宋体"/>
                <w:sz w:val="24"/>
              </w:rPr>
              <w:t>、道路树景灯光布置：宁远路（高速口</w:t>
            </w:r>
            <w:r>
              <w:rPr>
                <w:rFonts w:ascii="calibri" w:hAnsi="calibri" w:cs="calibri" w:eastAsia="calibri"/>
                <w:sz w:val="24"/>
              </w:rPr>
              <w:t>-</w:t>
            </w:r>
            <w:r>
              <w:rPr>
                <w:rFonts w:ascii="宋体" w:hAnsi="宋体" w:cs="宋体" w:eastAsia="宋体"/>
                <w:sz w:val="24"/>
              </w:rPr>
              <w:t>赤岸大道）、赤岸大道（宁远路</w:t>
            </w:r>
            <w:r>
              <w:rPr>
                <w:rFonts w:ascii="calibri" w:hAnsi="calibri" w:cs="calibri" w:eastAsia="calibri"/>
                <w:sz w:val="24"/>
              </w:rPr>
              <w:t>-</w:t>
            </w:r>
            <w:r>
              <w:rPr>
                <w:rFonts w:ascii="宋体" w:hAnsi="宋体" w:cs="宋体" w:eastAsia="宋体"/>
                <w:sz w:val="24"/>
              </w:rPr>
              <w:t>福宁大道）、太康路（长溪路</w:t>
            </w:r>
            <w:r>
              <w:rPr>
                <w:rFonts w:ascii="calibri" w:hAnsi="calibri" w:cs="calibri" w:eastAsia="calibri"/>
                <w:sz w:val="24"/>
              </w:rPr>
              <w:t>-</w:t>
            </w:r>
            <w:r>
              <w:rPr>
                <w:rFonts w:ascii="宋体" w:hAnsi="宋体" w:cs="宋体" w:eastAsia="宋体"/>
                <w:sz w:val="24"/>
              </w:rPr>
              <w:t>赤岸大道）、龙首路（府前路</w:t>
            </w:r>
            <w:r>
              <w:rPr>
                <w:rFonts w:ascii="calibri" w:hAnsi="calibri" w:cs="calibri" w:eastAsia="calibri"/>
                <w:sz w:val="24"/>
              </w:rPr>
              <w:t>-</w:t>
            </w:r>
            <w:r>
              <w:rPr>
                <w:rFonts w:ascii="宋体" w:hAnsi="宋体" w:cs="宋体" w:eastAsia="宋体"/>
                <w:sz w:val="24"/>
              </w:rPr>
              <w:t>山河路）。</w:t>
            </w:r>
          </w:p>
          <w:p>
            <w:pPr>
              <w:pStyle w:val="null3"/>
              <w:ind w:firstLine="380"/>
              <w:jc w:val="center"/>
            </w:pPr>
            <w:r>
              <w:rPr>
                <w:rFonts w:ascii="calibri" w:hAnsi="calibri" w:cs="calibri" w:eastAsia="calibri"/>
                <w:sz w:val="24"/>
              </w:rPr>
              <w:t>4</w:t>
            </w:r>
            <w:r>
              <w:rPr>
                <w:rFonts w:ascii="宋体" w:hAnsi="宋体" w:cs="宋体" w:eastAsia="宋体"/>
                <w:sz w:val="24"/>
              </w:rPr>
              <w:t>、灯笼布置：府前路、龙首路全段，宁远路、赤岸大道、福宁大道局部。</w:t>
            </w:r>
          </w:p>
        </w:tc>
        <w:tc>
          <w:tcPr>
            <w:tcW w:type="dxa" w:w="252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calibri" w:hAnsi="calibri" w:cs="calibri" w:eastAsia="calibri"/>
                <w:sz w:val="24"/>
              </w:rPr>
              <w:t>2024</w:t>
            </w:r>
            <w:r>
              <w:rPr>
                <w:rFonts w:ascii="宋体" w:hAnsi="宋体" w:cs="宋体" w:eastAsia="宋体"/>
                <w:sz w:val="24"/>
              </w:rPr>
              <w:t>年</w:t>
            </w:r>
            <w:r>
              <w:rPr>
                <w:rFonts w:ascii="calibri" w:hAnsi="calibri" w:cs="calibri" w:eastAsia="calibri"/>
                <w:sz w:val="24"/>
              </w:rPr>
              <w:t>02</w:t>
            </w:r>
            <w:r>
              <w:rPr>
                <w:rFonts w:ascii="宋体" w:hAnsi="宋体" w:cs="宋体" w:eastAsia="宋体"/>
                <w:sz w:val="24"/>
              </w:rPr>
              <w:t>月</w:t>
            </w:r>
            <w:r>
              <w:rPr>
                <w:rFonts w:ascii="calibri" w:hAnsi="calibri" w:cs="calibri" w:eastAsia="calibri"/>
                <w:sz w:val="24"/>
              </w:rPr>
              <w:t>04</w:t>
            </w:r>
            <w:r>
              <w:rPr>
                <w:rFonts w:ascii="宋体" w:hAnsi="宋体" w:cs="宋体" w:eastAsia="宋体"/>
                <w:sz w:val="24"/>
              </w:rPr>
              <w:t>日（农历腊月廿五）前安装完毕并全部亮灯</w:t>
            </w:r>
          </w:p>
        </w:tc>
      </w:tr>
    </w:tbl>
    <w:p>
      <w:pPr>
        <w:pStyle w:val="null3"/>
        <w:jc w:val="both"/>
        <w:outlineLvl w:val="2"/>
      </w:pPr>
      <w:r>
        <w:rPr>
          <w:b/>
          <w:sz w:val="28"/>
        </w:rPr>
        <w:t>二、技术和服务要求（以“★”标示的内容为不允许负偏离的实质性要求）</w:t>
      </w:r>
    </w:p>
    <w:p>
      <w:pPr>
        <w:pStyle w:val="null3"/>
        <w:jc w:val="left"/>
      </w:pPr>
      <w:r>
        <w:rPr>
          <w:rFonts w:ascii="calibri" w:hAnsi="calibri" w:cs="calibri" w:eastAsia="calibri"/>
          <w:sz w:val="24"/>
        </w:rPr>
        <w:t xml:space="preserve"> </w:t>
      </w:r>
      <w:r>
        <w:rPr>
          <w:rFonts w:ascii="宋体" w:hAnsi="宋体" w:cs="宋体" w:eastAsia="宋体"/>
          <w:sz w:val="24"/>
        </w:rPr>
        <w:t>1.中标人在施工前须与采购人确定施工的相关事项。采购人有权提出要求对现场布置进行微调，中标人须积极配合该调整。</w:t>
      </w:r>
      <w:r>
        <w:rPr>
          <w:rFonts w:ascii="宋体" w:hAnsi="宋体" w:cs="宋体" w:eastAsia="宋体"/>
          <w:b/>
          <w:sz w:val="24"/>
        </w:rPr>
        <w:t>（评标项</w:t>
      </w:r>
      <w:r>
        <w:rPr>
          <w:rFonts w:ascii="宋体" w:hAnsi="宋体" w:cs="宋体" w:eastAsia="宋体"/>
          <w:b/>
          <w:sz w:val="24"/>
        </w:rPr>
        <w:t>1）</w:t>
      </w:r>
    </w:p>
    <w:p>
      <w:pPr>
        <w:pStyle w:val="null3"/>
        <w:ind w:firstLine="480"/>
        <w:jc w:val="left"/>
      </w:pPr>
      <w:r>
        <w:rPr>
          <w:rFonts w:ascii="宋体" w:hAnsi="宋体" w:cs="宋体" w:eastAsia="宋体"/>
          <w:sz w:val="24"/>
        </w:rPr>
        <w:t>2.在合同服务期应组建专业的服务团队。</w:t>
      </w:r>
    </w:p>
    <w:p>
      <w:pPr>
        <w:pStyle w:val="null3"/>
        <w:ind w:firstLine="480"/>
        <w:jc w:val="left"/>
      </w:pPr>
      <w:r>
        <w:rPr>
          <w:rFonts w:ascii="宋体" w:hAnsi="宋体" w:cs="宋体" w:eastAsia="宋体"/>
          <w:sz w:val="24"/>
        </w:rPr>
        <w:t>3.中标后拟派的施工人员须具有相关作业的资质证明及特殊作业资质证明（例如电工证、焊工证等相关从业资质）。</w:t>
      </w:r>
    </w:p>
    <w:p>
      <w:pPr>
        <w:pStyle w:val="null3"/>
        <w:ind w:firstLine="480"/>
        <w:jc w:val="left"/>
      </w:pPr>
      <w:r>
        <w:rPr>
          <w:rFonts w:ascii="宋体" w:hAnsi="宋体" w:cs="宋体" w:eastAsia="宋体"/>
          <w:sz w:val="24"/>
        </w:rPr>
        <w:t>4.项目至少两名管理人员，对现场进行整体协调。</w:t>
      </w:r>
    </w:p>
    <w:p>
      <w:pPr>
        <w:pStyle w:val="null3"/>
        <w:ind w:firstLine="480"/>
        <w:jc w:val="left"/>
      </w:pPr>
      <w:r>
        <w:rPr>
          <w:rFonts w:ascii="宋体" w:hAnsi="宋体" w:cs="宋体" w:eastAsia="宋体"/>
          <w:sz w:val="24"/>
        </w:rPr>
        <w:t>5.中标人须严格按照投标时承诺的方案要求进行工艺制作，如项目未达到质量要求，采购人有权要求中标人整改；若中标人最终未能通过验收，则视为验收不合格。</w:t>
      </w:r>
      <w:r>
        <w:rPr>
          <w:rFonts w:ascii="宋体" w:hAnsi="宋体" w:cs="宋体" w:eastAsia="宋体"/>
          <w:b/>
          <w:sz w:val="24"/>
        </w:rPr>
        <w:t>（评标项</w:t>
      </w:r>
      <w:r>
        <w:rPr>
          <w:rFonts w:ascii="宋体" w:hAnsi="宋体" w:cs="宋体" w:eastAsia="宋体"/>
          <w:b/>
          <w:sz w:val="24"/>
        </w:rPr>
        <w:t>2）</w:t>
      </w:r>
    </w:p>
    <w:p>
      <w:pPr>
        <w:pStyle w:val="null3"/>
        <w:ind w:firstLine="480"/>
        <w:jc w:val="left"/>
      </w:pPr>
      <w:r>
        <w:rPr>
          <w:rFonts w:ascii="宋体" w:hAnsi="宋体" w:cs="宋体" w:eastAsia="宋体"/>
          <w:sz w:val="24"/>
        </w:rPr>
        <w:t>6.本项目必须严格按照采购人要求的内容实施，如相关项目的保修、保质期，及每天定时巡查物料及时维护等的要求，尤其遇上恶劣天气情况，必须提前作好准备，检查物料的安全性及恶劣天气过后的及时检修工作。</w:t>
      </w:r>
      <w:r>
        <w:rPr>
          <w:rFonts w:ascii="宋体" w:hAnsi="宋体" w:cs="宋体" w:eastAsia="宋体"/>
          <w:b/>
          <w:sz w:val="24"/>
        </w:rPr>
        <w:t>（评标项</w:t>
      </w:r>
      <w:r>
        <w:rPr>
          <w:rFonts w:ascii="宋体" w:hAnsi="宋体" w:cs="宋体" w:eastAsia="宋体"/>
          <w:b/>
          <w:sz w:val="24"/>
        </w:rPr>
        <w:t>3）</w:t>
      </w:r>
    </w:p>
    <w:p>
      <w:pPr>
        <w:pStyle w:val="null3"/>
        <w:ind w:firstLine="480"/>
        <w:jc w:val="left"/>
      </w:pPr>
      <w:r>
        <w:rPr>
          <w:rFonts w:ascii="宋体" w:hAnsi="宋体" w:cs="宋体" w:eastAsia="宋体"/>
          <w:sz w:val="24"/>
        </w:rPr>
        <w:t>7.为本项目配备服务团队，含项目总负责人、现场管理人员、现场施工人员、团队人员将投入100％的时间和精力于双方协议的服务范围，以确保按时完成工作。</w:t>
      </w:r>
      <w:r>
        <w:rPr>
          <w:rFonts w:ascii="宋体" w:hAnsi="宋体" w:cs="宋体" w:eastAsia="宋体"/>
          <w:b/>
          <w:sz w:val="24"/>
        </w:rPr>
        <w:t>（评标项</w:t>
      </w:r>
      <w:r>
        <w:rPr>
          <w:rFonts w:ascii="宋体" w:hAnsi="宋体" w:cs="宋体" w:eastAsia="宋体"/>
          <w:b/>
          <w:sz w:val="24"/>
        </w:rPr>
        <w:t>4）</w:t>
      </w:r>
    </w:p>
    <w:p>
      <w:pPr>
        <w:pStyle w:val="null3"/>
        <w:ind w:firstLine="480"/>
        <w:jc w:val="left"/>
      </w:pPr>
      <w:r>
        <w:rPr>
          <w:rFonts w:ascii="宋体" w:hAnsi="宋体" w:cs="宋体" w:eastAsia="宋体"/>
          <w:sz w:val="24"/>
        </w:rPr>
        <w:t>8.严谨履行采购合同范围内的工作项目。</w:t>
      </w:r>
      <w:r>
        <w:rPr>
          <w:rFonts w:ascii="宋体" w:hAnsi="宋体" w:cs="宋体" w:eastAsia="宋体"/>
          <w:b/>
          <w:sz w:val="24"/>
        </w:rPr>
        <w:t>（评标项</w:t>
      </w:r>
      <w:r>
        <w:rPr>
          <w:rFonts w:ascii="宋体" w:hAnsi="宋体" w:cs="宋体" w:eastAsia="宋体"/>
          <w:b/>
          <w:sz w:val="24"/>
        </w:rPr>
        <w:t>5）</w:t>
      </w:r>
    </w:p>
    <w:p>
      <w:pPr>
        <w:pStyle w:val="null3"/>
        <w:ind w:firstLine="480"/>
        <w:jc w:val="left"/>
      </w:pPr>
      <w:r>
        <w:rPr>
          <w:rFonts w:ascii="宋体" w:hAnsi="宋体" w:cs="宋体" w:eastAsia="宋体"/>
          <w:sz w:val="24"/>
        </w:rPr>
        <w:t>9.因地制宜，制定合理的工作安排，对不足部分及时调整修改。</w:t>
      </w:r>
      <w:r>
        <w:rPr>
          <w:rFonts w:ascii="宋体" w:hAnsi="宋体" w:cs="宋体" w:eastAsia="宋体"/>
          <w:b/>
          <w:sz w:val="24"/>
        </w:rPr>
        <w:t>（评标项</w:t>
      </w:r>
      <w:r>
        <w:rPr>
          <w:rFonts w:ascii="宋体" w:hAnsi="宋体" w:cs="宋体" w:eastAsia="宋体"/>
          <w:b/>
          <w:sz w:val="24"/>
        </w:rPr>
        <w:t>6）</w:t>
      </w:r>
    </w:p>
    <w:p>
      <w:pPr>
        <w:pStyle w:val="null3"/>
        <w:ind w:firstLine="480"/>
        <w:jc w:val="left"/>
      </w:pPr>
      <w:r>
        <w:rPr>
          <w:rFonts w:ascii="宋体" w:hAnsi="宋体" w:cs="宋体" w:eastAsia="宋体"/>
          <w:sz w:val="24"/>
        </w:rPr>
        <w:t>10.如遇暴雨或其他不可抗力因素需中止活动时，及时做好防范措施，尽量避免不必要的损失，如因风雨损坏及人为因素破坏，必须立即维修。务必保证所有布置项目能正常使用，且达到设 计方案的效果；施工过程或灯展期间如遇暴雨或其他不可抗力因素须中止活动时，必须提前做好防范措施，检查物料的安全性及恶略天气过后的及时检修工作。</w:t>
      </w:r>
      <w:r>
        <w:rPr>
          <w:rFonts w:ascii="宋体" w:hAnsi="宋体" w:cs="宋体" w:eastAsia="宋体"/>
          <w:b/>
          <w:sz w:val="24"/>
        </w:rPr>
        <w:t>（评标项</w:t>
      </w:r>
      <w:r>
        <w:rPr>
          <w:rFonts w:ascii="宋体" w:hAnsi="宋体" w:cs="宋体" w:eastAsia="宋体"/>
          <w:b/>
          <w:sz w:val="24"/>
        </w:rPr>
        <w:t>7）</w:t>
      </w:r>
    </w:p>
    <w:p>
      <w:pPr>
        <w:pStyle w:val="null3"/>
        <w:ind w:firstLine="480"/>
        <w:jc w:val="left"/>
      </w:pPr>
      <w:r>
        <w:rPr>
          <w:rFonts w:ascii="宋体" w:hAnsi="宋体" w:cs="宋体" w:eastAsia="宋体"/>
          <w:sz w:val="24"/>
        </w:rPr>
        <w:t>11.严格按照采购人要求的完工时间完成项目全部工作。</w:t>
      </w:r>
      <w:r>
        <w:rPr>
          <w:rFonts w:ascii="宋体" w:hAnsi="宋体" w:cs="宋体" w:eastAsia="宋体"/>
          <w:b/>
          <w:sz w:val="24"/>
        </w:rPr>
        <w:t>（评标项</w:t>
      </w:r>
      <w:r>
        <w:rPr>
          <w:rFonts w:ascii="宋体" w:hAnsi="宋体" w:cs="宋体" w:eastAsia="宋体"/>
          <w:b/>
          <w:sz w:val="24"/>
        </w:rPr>
        <w:t>8）</w:t>
      </w:r>
    </w:p>
    <w:p>
      <w:pPr>
        <w:pStyle w:val="null3"/>
        <w:ind w:firstLine="480"/>
        <w:jc w:val="left"/>
      </w:pPr>
      <w:r>
        <w:rPr>
          <w:rFonts w:ascii="宋体" w:hAnsi="宋体" w:cs="宋体" w:eastAsia="宋体"/>
          <w:sz w:val="24"/>
        </w:rPr>
        <w:t>12.装、拆现场时，工作区装设安全警示标识，路边施工及夜间时工作人员必须穿上合格的反光衣物保证自身及路边群众的安全，不论装、拆现场，均安排不少于一位工程人员在安装地面上巡视，提醒路人注意并绕道而行，防止非工作人员进入工作区，须采取必要的安全措施确保施工人员及行人、游客的安全。</w:t>
      </w:r>
      <w:r>
        <w:rPr>
          <w:rFonts w:ascii="宋体" w:hAnsi="宋体" w:cs="宋体" w:eastAsia="宋体"/>
          <w:b/>
          <w:sz w:val="24"/>
        </w:rPr>
        <w:t>（评标项</w:t>
      </w:r>
      <w:r>
        <w:rPr>
          <w:rFonts w:ascii="宋体" w:hAnsi="宋体" w:cs="宋体" w:eastAsia="宋体"/>
          <w:b/>
          <w:sz w:val="24"/>
        </w:rPr>
        <w:t>9）</w:t>
      </w:r>
    </w:p>
    <w:p>
      <w:pPr>
        <w:pStyle w:val="null3"/>
        <w:ind w:firstLine="480"/>
        <w:jc w:val="left"/>
      </w:pPr>
      <w:r>
        <w:rPr>
          <w:rFonts w:ascii="宋体" w:hAnsi="宋体" w:cs="宋体" w:eastAsia="宋体"/>
          <w:sz w:val="24"/>
        </w:rPr>
        <w:t>13.中标人必须在服务期间做好维护管理工作，确保各布置点安全并处于正常使用状态；期间若发生安全事故，采购人有权终止合同，不再支付合同款项，所造成的一切损失及责任由中标人自行承担。</w:t>
      </w:r>
      <w:r>
        <w:rPr>
          <w:rFonts w:ascii="宋体" w:hAnsi="宋体" w:cs="宋体" w:eastAsia="宋体"/>
          <w:b/>
          <w:sz w:val="24"/>
        </w:rPr>
        <w:t>（评标项</w:t>
      </w:r>
      <w:r>
        <w:rPr>
          <w:rFonts w:ascii="宋体" w:hAnsi="宋体" w:cs="宋体" w:eastAsia="宋体"/>
          <w:b/>
          <w:sz w:val="24"/>
        </w:rPr>
        <w:t>10）</w:t>
      </w:r>
    </w:p>
    <w:p>
      <w:pPr>
        <w:pStyle w:val="null3"/>
        <w:ind w:firstLine="480"/>
        <w:jc w:val="left"/>
      </w:pPr>
      <w:r>
        <w:rPr>
          <w:rFonts w:ascii="宋体" w:hAnsi="宋体" w:cs="宋体" w:eastAsia="宋体"/>
          <w:sz w:val="24"/>
        </w:rPr>
        <w:t>14.花坛装饰大型装置安装位置的草坪、树木及路灯装饰的路灯旗杆等，施工期间必须加强保护，作好必要的保护措施，装饰拆卸后恢复原貌，如有破损按实际情况予以赔偿。</w:t>
      </w:r>
      <w:r>
        <w:rPr>
          <w:rFonts w:ascii="宋体" w:hAnsi="宋体" w:cs="宋体" w:eastAsia="宋体"/>
          <w:b/>
          <w:sz w:val="24"/>
        </w:rPr>
        <w:t>（评标项</w:t>
      </w:r>
      <w:r>
        <w:rPr>
          <w:rFonts w:ascii="宋体" w:hAnsi="宋体" w:cs="宋体" w:eastAsia="宋体"/>
          <w:b/>
          <w:sz w:val="24"/>
        </w:rPr>
        <w:t>11）</w:t>
      </w:r>
    </w:p>
    <w:p>
      <w:pPr>
        <w:pStyle w:val="null3"/>
        <w:ind w:firstLine="480"/>
        <w:jc w:val="left"/>
      </w:pPr>
      <w:r>
        <w:rPr>
          <w:rFonts w:ascii="宋体" w:hAnsi="宋体" w:cs="宋体" w:eastAsia="宋体"/>
          <w:sz w:val="24"/>
        </w:rPr>
        <w:t>15.在本活动结束前，中标人须负责现场合同范围内有关设备的保管，若出现丢失，由中标人负责。</w:t>
      </w:r>
    </w:p>
    <w:p>
      <w:pPr>
        <w:pStyle w:val="null3"/>
        <w:ind w:firstLine="480"/>
        <w:jc w:val="left"/>
      </w:pPr>
      <w:r>
        <w:rPr>
          <w:rFonts w:ascii="宋体" w:hAnsi="宋体" w:cs="宋体" w:eastAsia="宋体"/>
          <w:sz w:val="24"/>
        </w:rPr>
        <w:t>16.在现场安装过程中，若相关部门发现中标人违规安装、不按国家、省、市的有关规范安装或不按要求的事项的，采购人有权要求限期整改，采购人保留追究权利。</w:t>
      </w:r>
    </w:p>
    <w:p>
      <w:pPr>
        <w:pStyle w:val="null3"/>
        <w:ind w:firstLine="480"/>
        <w:jc w:val="left"/>
      </w:pPr>
      <w:r>
        <w:rPr>
          <w:rFonts w:ascii="宋体" w:hAnsi="宋体" w:cs="宋体" w:eastAsia="宋体"/>
          <w:sz w:val="24"/>
        </w:rPr>
        <w:t>17.如由于中标人施工质量问题导致任何的安全事故或使活动不能顺利举行，采购人有权按有关规定追究中标人责任。</w:t>
      </w:r>
    </w:p>
    <w:p>
      <w:pPr>
        <w:pStyle w:val="null3"/>
        <w:ind w:firstLine="480"/>
        <w:jc w:val="left"/>
      </w:pPr>
      <w:r>
        <w:rPr>
          <w:rFonts w:ascii="宋体" w:hAnsi="宋体" w:cs="宋体" w:eastAsia="宋体"/>
          <w:sz w:val="24"/>
        </w:rPr>
        <w:t>18.现场运输安装、展示、拆除过程中所发生一切事故由中标人负责，采购人不负任何责任。</w:t>
      </w:r>
    </w:p>
    <w:p>
      <w:pPr>
        <w:pStyle w:val="null3"/>
        <w:ind w:firstLine="480"/>
        <w:jc w:val="left"/>
      </w:pPr>
      <w:r>
        <w:rPr>
          <w:rFonts w:ascii="宋体" w:hAnsi="宋体" w:cs="宋体" w:eastAsia="宋体"/>
          <w:sz w:val="24"/>
        </w:rPr>
        <w:t>19.施工过程中如遇协调问题，由中标人自行协调解决，采购人不提供任何书面证明。中标人应切实密切关注街景布置路段沿线施工中及灯饰正常使用期间的用电安全等有关事项，确保人民生命和财产安全，一切因中标人在施工、管理等过程中引发的一切安全责任事故和问题由中标人负全责，与采购人无关。</w:t>
      </w:r>
    </w:p>
    <w:p>
      <w:pPr>
        <w:pStyle w:val="null3"/>
        <w:ind w:firstLine="480"/>
        <w:jc w:val="left"/>
      </w:pPr>
      <w:r>
        <w:rPr>
          <w:rFonts w:ascii="宋体" w:hAnsi="宋体" w:cs="宋体" w:eastAsia="宋体"/>
          <w:sz w:val="24"/>
        </w:rPr>
        <w:t>20.中标人在安装过程中，如需对墙面、路面、绿化等作局部破坏，必须在施工前取得采购人的书面同意，并在展示期满后负责恢复原状，采购人不另行支付任何费用。</w:t>
      </w:r>
    </w:p>
    <w:p>
      <w:pPr>
        <w:pStyle w:val="null3"/>
        <w:ind w:firstLine="480"/>
        <w:jc w:val="left"/>
      </w:pPr>
      <w:r>
        <w:rPr>
          <w:rFonts w:ascii="宋体" w:hAnsi="宋体" w:cs="宋体" w:eastAsia="宋体"/>
          <w:sz w:val="24"/>
        </w:rPr>
        <w:t>21.</w:t>
      </w:r>
      <w:r>
        <w:rPr>
          <w:rFonts w:ascii="宋体" w:hAnsi="宋体" w:cs="宋体" w:eastAsia="宋体"/>
          <w:sz w:val="24"/>
          <w:shd w:fill="FFFFFF" w:val="clear"/>
        </w:rPr>
        <w:t>本项目的电源主要的电缆线、插座开关在灯展结束后由中标人自行收回处置，</w:t>
      </w:r>
      <w:r>
        <w:rPr>
          <w:rFonts w:ascii="宋体" w:hAnsi="宋体" w:cs="宋体" w:eastAsia="宋体"/>
          <w:sz w:val="24"/>
          <w:shd w:fill="FFFFFF" w:val="clear"/>
        </w:rPr>
        <w:t>采购人不予收缴。</w:t>
      </w:r>
    </w:p>
    <w:p>
      <w:pPr>
        <w:pStyle w:val="null3"/>
        <w:ind w:firstLine="480"/>
        <w:jc w:val="left"/>
      </w:pPr>
      <w:r>
        <w:rPr>
          <w:rFonts w:ascii="calibri" w:hAnsi="calibri" w:cs="calibri" w:eastAsia="calibri"/>
          <w:b/>
          <w:sz w:val="28"/>
        </w:rPr>
        <w:t>★</w:t>
      </w:r>
      <w:r>
        <w:rPr>
          <w:rFonts w:ascii="宋体" w:hAnsi="宋体" w:cs="宋体" w:eastAsia="宋体"/>
          <w:b/>
          <w:sz w:val="24"/>
        </w:rPr>
        <w:t>22.投标人承诺拟投入本项目的施工人员最低配置：具有电工证的施工人员2名，具有高空作业证的施工人员1名，具有焊工证的施工人员1名，中标人须在签订合同前提供人员名单，有效的证书复印件、身份证复印件及劳务合同复印件。投标人须针对以上内容提供专项承诺函（格式自拟），未提供按无效投标处理。</w:t>
      </w:r>
    </w:p>
    <w:p>
      <w:pPr>
        <w:pStyle w:val="null3"/>
        <w:jc w:val="left"/>
      </w:pPr>
      <w:r>
        <w:rPr>
          <w:rFonts w:ascii="宋体" w:hAnsi="宋体" w:cs="宋体" w:eastAsia="宋体"/>
          <w:b/>
          <w:sz w:val="24"/>
        </w:rPr>
        <w:t>（二）其他要求</w:t>
      </w:r>
    </w:p>
    <w:p>
      <w:pPr>
        <w:pStyle w:val="null3"/>
        <w:ind w:firstLine="480"/>
        <w:jc w:val="left"/>
      </w:pPr>
      <w:r>
        <w:rPr>
          <w:rFonts w:ascii="宋体" w:hAnsi="宋体" w:cs="宋体" w:eastAsia="宋体"/>
          <w:sz w:val="24"/>
        </w:rPr>
        <w:t>1.中标人根据初步设计方案中的时间节点组织人员进行部分内容的拆除并将现场清理干净，具体拆除日期以采购人书面通知为准。所发生的一切费用均由中标人承担（包含在投标价格中）。</w:t>
      </w:r>
    </w:p>
    <w:p>
      <w:pPr>
        <w:pStyle w:val="null3"/>
        <w:ind w:firstLine="480"/>
        <w:jc w:val="left"/>
      </w:pPr>
      <w:r>
        <w:rPr>
          <w:rFonts w:ascii="宋体" w:hAnsi="宋体" w:cs="宋体" w:eastAsia="宋体"/>
          <w:sz w:val="24"/>
        </w:rPr>
        <w:t>2.中标人须对部分材料进行预备，针对人为或自然脱落的情况进行实施维护。</w:t>
      </w:r>
    </w:p>
    <w:p>
      <w:pPr>
        <w:pStyle w:val="null3"/>
        <w:ind w:firstLine="480"/>
        <w:jc w:val="left"/>
      </w:pPr>
      <w:r>
        <w:rPr>
          <w:rFonts w:ascii="宋体" w:hAnsi="宋体" w:cs="宋体" w:eastAsia="宋体"/>
          <w:sz w:val="24"/>
        </w:rPr>
        <w:t>3.根据项目要求，展出期间对展陈效果进行春节喜庆氛围定制。</w:t>
      </w:r>
    </w:p>
    <w:p>
      <w:pPr>
        <w:pStyle w:val="null3"/>
        <w:ind w:firstLine="480"/>
        <w:jc w:val="left"/>
      </w:pPr>
      <w:r>
        <w:rPr>
          <w:rFonts w:ascii="宋体" w:hAnsi="宋体" w:cs="宋体" w:eastAsia="宋体"/>
          <w:sz w:val="24"/>
        </w:rPr>
        <w:t>4.中标人负责将货物运至布置地点安装，安装完成后采购人负责验收。</w:t>
      </w:r>
    </w:p>
    <w:p>
      <w:pPr>
        <w:pStyle w:val="null3"/>
        <w:ind w:firstLine="480"/>
        <w:jc w:val="left"/>
      </w:pPr>
      <w:r>
        <w:rPr>
          <w:rFonts w:ascii="宋体" w:hAnsi="宋体" w:cs="宋体" w:eastAsia="宋体"/>
          <w:sz w:val="24"/>
        </w:rPr>
        <w:t>5.货物在运输及安装过程中所发生的一切费用均由中标人承担（已包含在投标总价中）。</w:t>
      </w:r>
    </w:p>
    <w:p>
      <w:pPr>
        <w:pStyle w:val="null3"/>
        <w:ind w:firstLine="480"/>
        <w:jc w:val="left"/>
      </w:pPr>
      <w:r>
        <w:rPr>
          <w:rFonts w:ascii="宋体" w:hAnsi="宋体" w:cs="宋体" w:eastAsia="宋体"/>
          <w:sz w:val="24"/>
        </w:rPr>
        <w:t>6.本项目维护期为各街道道路节点安装后至采购人通知拆除，中标人必须做好每天维护与管理直到中标人接到拆除通知，拆除完整之日。在此期间中标人在维护期内必须对整个项目提供无偿保修服务。</w:t>
      </w:r>
    </w:p>
    <w:p>
      <w:pPr>
        <w:pStyle w:val="null3"/>
        <w:ind w:firstLine="480"/>
        <w:jc w:val="left"/>
      </w:pPr>
      <w:r>
        <w:rPr>
          <w:rFonts w:ascii="宋体" w:hAnsi="宋体" w:cs="宋体" w:eastAsia="宋体"/>
          <w:sz w:val="24"/>
          <w:shd w:fill="FFFFFF" w:val="clear"/>
        </w:rPr>
        <w:t>7.所需辅材（电源电缆线根据需要应能安全荷载、加固支撑须用钢管、铁丝外观须用装饰布包裹等）均包含在内。</w:t>
      </w:r>
    </w:p>
    <w:p>
      <w:pPr>
        <w:pStyle w:val="null3"/>
        <w:ind w:firstLine="480"/>
        <w:jc w:val="left"/>
      </w:pPr>
      <w:r>
        <w:rPr>
          <w:rFonts w:ascii="宋体" w:hAnsi="宋体" w:cs="宋体" w:eastAsia="宋体"/>
          <w:sz w:val="24"/>
        </w:rPr>
        <w:t>8.现场安装制作的费用及亮灯期间的管理费用由中标人承担。</w:t>
      </w:r>
    </w:p>
    <w:p>
      <w:pPr>
        <w:pStyle w:val="null3"/>
        <w:ind w:firstLine="480"/>
        <w:jc w:val="left"/>
      </w:pPr>
      <w:r>
        <w:rPr>
          <w:rFonts w:ascii="宋体" w:hAnsi="宋体" w:cs="宋体" w:eastAsia="宋体"/>
          <w:sz w:val="24"/>
          <w:shd w:fill="FFFFFF" w:val="clear"/>
        </w:rPr>
        <w:t>9.产品制作及展览期间，由此引起的安全责任由中标人负责，采购人不负任何连带责任。</w:t>
      </w:r>
    </w:p>
    <w:p>
      <w:pPr>
        <w:pStyle w:val="null3"/>
        <w:ind w:firstLine="480"/>
        <w:jc w:val="left"/>
      </w:pPr>
      <w:r>
        <w:rPr>
          <w:rFonts w:ascii="宋体" w:hAnsi="宋体" w:cs="宋体" w:eastAsia="宋体"/>
          <w:sz w:val="24"/>
        </w:rPr>
        <w:t>10.应急措施：展出期间成立专门的项目小组针对福宁公园一期二期、龙首路段、赤岸大道区域进行灯展的质量安全把控，并负责应急联络。</w:t>
      </w:r>
    </w:p>
    <w:p>
      <w:pPr>
        <w:pStyle w:val="null3"/>
        <w:ind w:firstLine="480"/>
        <w:jc w:val="left"/>
      </w:pPr>
      <w:r>
        <w:rPr>
          <w:rFonts w:ascii="宋体" w:hAnsi="宋体" w:cs="宋体" w:eastAsia="宋体"/>
          <w:sz w:val="24"/>
        </w:rPr>
        <w:t>10.1负责灯展设备设施的检修与维护。</w:t>
      </w:r>
    </w:p>
    <w:p>
      <w:pPr>
        <w:pStyle w:val="null3"/>
        <w:ind w:firstLine="480"/>
        <w:jc w:val="left"/>
      </w:pPr>
      <w:r>
        <w:rPr>
          <w:rFonts w:ascii="宋体" w:hAnsi="宋体" w:cs="宋体" w:eastAsia="宋体"/>
          <w:sz w:val="24"/>
        </w:rPr>
        <w:t>10.2设施设备配备专项空开装置，为项目安全提示保障，同时装在时控装置，每天下午18:00至次日04:00，如遇紧急情况，项目小组则出动专业电工对故障区域进行实时维护。</w:t>
      </w:r>
    </w:p>
    <w:p>
      <w:pPr>
        <w:pStyle w:val="null3"/>
        <w:ind w:firstLine="480"/>
        <w:jc w:val="left"/>
      </w:pPr>
      <w:r>
        <w:rPr>
          <w:rFonts w:ascii="宋体" w:hAnsi="宋体" w:cs="宋体" w:eastAsia="宋体"/>
          <w:sz w:val="24"/>
        </w:rPr>
        <w:t>10.3遇雨雪天气时，派遣专业电工对各项设备设施进行全面检查，确保安全后送电。</w:t>
      </w:r>
    </w:p>
    <w:p>
      <w:pPr>
        <w:pStyle w:val="null3"/>
        <w:ind w:firstLine="480"/>
        <w:jc w:val="left"/>
      </w:pPr>
      <w:r>
        <w:rPr>
          <w:rFonts w:ascii="宋体" w:hAnsi="宋体" w:cs="宋体" w:eastAsia="宋体"/>
          <w:sz w:val="24"/>
        </w:rPr>
        <w:t>10.4如遇到有人员扰乱秩序时，组织人员进行现场维护，预防事态升级，保护民众安全。</w:t>
      </w:r>
    </w:p>
    <w:p>
      <w:pPr>
        <w:pStyle w:val="null3"/>
        <w:ind w:firstLine="480"/>
        <w:jc w:val="left"/>
      </w:pPr>
      <w:r>
        <w:rPr>
          <w:rFonts w:ascii="宋体" w:hAnsi="宋体" w:cs="宋体" w:eastAsia="宋体"/>
          <w:sz w:val="24"/>
        </w:rPr>
        <w:t>11.街景氛围布置保留维护时间：</w:t>
      </w:r>
    </w:p>
    <w:p>
      <w:pPr>
        <w:pStyle w:val="null3"/>
        <w:ind w:firstLine="480"/>
        <w:jc w:val="left"/>
      </w:pPr>
      <w:r>
        <w:rPr>
          <w:rFonts w:ascii="宋体" w:hAnsi="宋体" w:cs="宋体" w:eastAsia="宋体"/>
          <w:sz w:val="24"/>
        </w:rPr>
        <w:t>11.1 没有亮灯的招牌和沿街灯笼</w:t>
      </w:r>
      <w:r>
        <w:rPr>
          <w:rFonts w:ascii="宋体" w:hAnsi="宋体" w:cs="宋体" w:eastAsia="宋体"/>
          <w:sz w:val="24"/>
        </w:rPr>
        <w:t>需拆除，</w:t>
      </w:r>
      <w:r>
        <w:rPr>
          <w:rFonts w:ascii="宋体" w:hAnsi="宋体" w:cs="宋体" w:eastAsia="宋体"/>
          <w:sz w:val="24"/>
        </w:rPr>
        <w:t>拆除具体时间以采购人通知为准</w:t>
      </w:r>
    </w:p>
    <w:p>
      <w:pPr>
        <w:pStyle w:val="null3"/>
        <w:ind w:firstLine="480"/>
        <w:jc w:val="left"/>
      </w:pPr>
      <w:r>
        <w:rPr>
          <w:rFonts w:ascii="宋体" w:hAnsi="宋体" w:cs="宋体" w:eastAsia="宋体"/>
          <w:sz w:val="24"/>
        </w:rPr>
        <w:t>11.2 灯景</w:t>
      </w:r>
      <w:r>
        <w:rPr>
          <w:rFonts w:ascii="宋体" w:hAnsi="宋体" w:cs="宋体" w:eastAsia="宋体"/>
          <w:sz w:val="24"/>
        </w:rPr>
        <w:t>需拆除</w:t>
      </w:r>
      <w:r>
        <w:rPr>
          <w:rFonts w:ascii="宋体" w:hAnsi="宋体" w:cs="宋体" w:eastAsia="宋体"/>
          <w:sz w:val="24"/>
        </w:rPr>
        <w:t>部分</w:t>
      </w:r>
      <w:r>
        <w:rPr>
          <w:rFonts w:ascii="宋体" w:hAnsi="宋体" w:cs="宋体" w:eastAsia="宋体"/>
          <w:sz w:val="24"/>
        </w:rPr>
        <w:t>，</w:t>
      </w:r>
      <w:r>
        <w:rPr>
          <w:rFonts w:ascii="宋体" w:hAnsi="宋体" w:cs="宋体" w:eastAsia="宋体"/>
          <w:sz w:val="24"/>
        </w:rPr>
        <w:t>拆除具体时间以采购人通知为准</w:t>
      </w:r>
    </w:p>
    <w:p>
      <w:pPr>
        <w:pStyle w:val="null3"/>
        <w:jc w:val="both"/>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2024年02月04日（农历腊月廿五）前</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福建省宁德市霞浦县采购人指定地点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安装完毕全部亮灯，验收合格并交付使用</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1、期次1，说明：根据招标文件、投标文件、采购合同及相关行业标准规定执行。</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1、项目安装完成 竣工验收合格后，达到付款条件起15日内，支付合同总金额的80.00%</w:t>
            </w:r>
          </w:p>
          <w:p>
            <w:pPr>
              <w:pStyle w:val="null3"/>
              <w:jc w:val="left"/>
            </w:pPr>
            <w:r>
              <w:rPr/>
              <w:t>2、项目竣工验收且经第三方结算审核后（支付至结算审核的90%），达到付款条件起15日内，支付合同总金额的10.00%</w:t>
            </w:r>
          </w:p>
          <w:p>
            <w:pPr>
              <w:pStyle w:val="null3"/>
              <w:jc w:val="left"/>
            </w:pPr>
            <w:r>
              <w:rPr/>
              <w:t>3、项目维护期满或按采购人要求的布置拆除并清理干净场地，经采购人确认后（支付至结算审核的100%），达到付款条件起15日内，支付合同总金额的10.00%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缴纳</w:t>
            </w:r>
            <w:r>
              <w:rPr/>
              <w:t>, 本采购包履约保证金为合同金额的5.0%</w:t>
            </w:r>
          </w:p>
          <w:p>
            <w:pPr>
              <w:pStyle w:val="null3"/>
              <w:jc w:val="left"/>
            </w:pPr>
            <w:r>
              <w:rPr/>
              <w:t>说明：中标人签订采购合同前五个工作日内以转账形式向采购人交纳中标金额的5%作为履约保证金。待项目验收合格,且无未了事宜后无息退还。如中标人合同期内有违约行为，采购人按合同约定扣除相应罚金。</w:t>
            </w:r>
          </w:p>
        </w:tc>
      </w:tr>
    </w:tbl>
    <w:p>
      <w:pPr>
        <w:pStyle w:val="null3"/>
        <w:jc w:val="left"/>
      </w:pPr>
      <w:r>
        <w:rPr/>
        <w:t>其他商务要求</w:t>
      </w:r>
    </w:p>
    <w:p>
      <w:pPr>
        <w:pStyle w:val="null3"/>
        <w:ind w:firstLine="480"/>
        <w:jc w:val="left"/>
      </w:pPr>
      <w:r>
        <w:rPr>
          <w:rFonts w:ascii="宋体" w:hAnsi="宋体" w:cs="宋体" w:eastAsia="宋体"/>
          <w:b/>
          <w:sz w:val="24"/>
        </w:rPr>
        <w:t>8.验收条件及标准</w:t>
      </w:r>
    </w:p>
    <w:p>
      <w:pPr>
        <w:pStyle w:val="null3"/>
        <w:ind w:firstLine="480"/>
        <w:jc w:val="left"/>
      </w:pPr>
      <w:r>
        <w:rPr>
          <w:rFonts w:ascii="宋体" w:hAnsi="宋体" w:cs="宋体" w:eastAsia="宋体"/>
          <w:sz w:val="24"/>
        </w:rPr>
        <w:t>8.1货物应按生产厂家的产品出厂检验标准、招标文件以及国家和行业验收规范要求及合同中的相关条款进行数量及质量的验收（货物以符合国家级计量单位检定合格为准，计量检测费用由成交供应商承担），评定标准以达到并满足国家相关工程施工规范和验收质量评定要求。在此期间，若发现货物质量有问题中标人应无条件免费更换。验收合格率应为100%，不合格造型当场退回并按时补齐，由此造成的误工等损失由中标人承担。</w:t>
      </w:r>
    </w:p>
    <w:p>
      <w:pPr>
        <w:pStyle w:val="null3"/>
        <w:ind w:firstLine="480"/>
        <w:jc w:val="left"/>
      </w:pPr>
      <w:r>
        <w:rPr>
          <w:rFonts w:ascii="宋体" w:hAnsi="宋体" w:cs="宋体" w:eastAsia="宋体"/>
          <w:sz w:val="24"/>
        </w:rPr>
        <w:t>8.2采购人根据招标文件、中标人的投标文件、合同及有关标准和规范进行验收。</w:t>
      </w:r>
    </w:p>
    <w:p>
      <w:pPr>
        <w:pStyle w:val="null3"/>
        <w:jc w:val="left"/>
      </w:pPr>
      <w:r>
        <w:rPr>
          <w:rFonts w:ascii="宋体" w:hAnsi="宋体" w:cs="宋体" w:eastAsia="宋体"/>
          <w:b/>
          <w:sz w:val="24"/>
        </w:rPr>
        <w:t>9.维护期</w:t>
      </w:r>
    </w:p>
    <w:p>
      <w:pPr>
        <w:pStyle w:val="null3"/>
        <w:ind w:firstLine="480"/>
        <w:jc w:val="left"/>
      </w:pPr>
      <w:r>
        <w:rPr>
          <w:rFonts w:ascii="宋体" w:hAnsi="宋体" w:cs="宋体" w:eastAsia="宋体"/>
          <w:b/>
          <w:sz w:val="24"/>
        </w:rPr>
        <w:t>9.1本项目维护期为1年</w:t>
      </w:r>
      <w:r>
        <w:rPr>
          <w:rFonts w:ascii="宋体" w:hAnsi="宋体" w:cs="宋体" w:eastAsia="宋体"/>
          <w:sz w:val="24"/>
        </w:rPr>
        <w:t>，自项目验收合格之日起计算，维护期间应保证造型品完善齐全，灯景亮灯。中标人应在造型展示期间进行保修，若货物发生故障，</w:t>
      </w:r>
      <w:r>
        <w:rPr>
          <w:rFonts w:ascii="宋体" w:hAnsi="宋体" w:cs="宋体" w:eastAsia="宋体"/>
          <w:sz w:val="24"/>
        </w:rPr>
        <w:t>需安排人</w:t>
      </w:r>
      <w:r>
        <w:rPr>
          <w:rFonts w:ascii="宋体" w:hAnsi="宋体" w:cs="宋体" w:eastAsia="宋体"/>
          <w:sz w:val="24"/>
        </w:rPr>
        <w:t>到达现场</w:t>
      </w:r>
      <w:r>
        <w:rPr>
          <w:rFonts w:ascii="宋体" w:hAnsi="宋体" w:cs="宋体" w:eastAsia="宋体"/>
          <w:sz w:val="24"/>
        </w:rPr>
        <w:t>处理</w:t>
      </w:r>
      <w:r>
        <w:rPr>
          <w:rFonts w:ascii="宋体" w:hAnsi="宋体" w:cs="宋体" w:eastAsia="宋体"/>
          <w:sz w:val="24"/>
        </w:rPr>
        <w:t>，</w:t>
      </w:r>
      <w:r>
        <w:rPr>
          <w:rFonts w:ascii="宋体" w:hAnsi="宋体" w:cs="宋体" w:eastAsia="宋体"/>
          <w:sz w:val="24"/>
        </w:rPr>
        <w:t>若无排除故障，</w:t>
      </w:r>
      <w:r>
        <w:rPr>
          <w:rFonts w:ascii="宋体" w:hAnsi="宋体" w:cs="宋体" w:eastAsia="宋体"/>
          <w:sz w:val="24"/>
        </w:rPr>
        <w:t>则应另提供相同的备件，确保项目能自然运转。维护前提仅为产品质量问题导致产品无法正常运转。如遇人为破坏或如台风、地震、洪水等不可抗力原因导致的破坏则进行另项资费后再维护。</w:t>
      </w:r>
    </w:p>
    <w:p>
      <w:pPr>
        <w:pStyle w:val="null3"/>
        <w:ind w:firstLine="480"/>
        <w:jc w:val="left"/>
      </w:pPr>
      <w:r>
        <w:rPr>
          <w:rFonts w:ascii="宋体" w:hAnsi="宋体" w:cs="宋体" w:eastAsia="宋体"/>
          <w:sz w:val="24"/>
        </w:rPr>
        <w:t>9.2维护期内需要更换的设备主要构配件由中标人负责，该期限内需要更换的构配件须由中标人负责包修、包换，中标人若不能按以上时间要求进行售后服务，采购人可以委托他人修理，涉及相关费用由中标人承担。</w:t>
      </w:r>
    </w:p>
    <w:p>
      <w:pPr>
        <w:pStyle w:val="null3"/>
        <w:ind w:firstLine="480"/>
        <w:jc w:val="left"/>
      </w:pPr>
      <w:r>
        <w:rPr>
          <w:rFonts w:ascii="宋体" w:hAnsi="宋体" w:cs="宋体" w:eastAsia="宋体"/>
          <w:sz w:val="24"/>
        </w:rPr>
        <w:t>9.3各个节点维护时间不同，具体的维护时间以采购人通知各个节点拆除的时间为准。</w:t>
      </w:r>
    </w:p>
    <w:p>
      <w:pPr>
        <w:pStyle w:val="null3"/>
        <w:jc w:val="left"/>
      </w:pPr>
      <w:r>
        <w:rPr>
          <w:rFonts w:ascii="宋体" w:hAnsi="宋体" w:cs="宋体" w:eastAsia="宋体"/>
          <w:b/>
          <w:sz w:val="24"/>
        </w:rPr>
        <w:t>10.专利权</w:t>
      </w:r>
    </w:p>
    <w:p>
      <w:pPr>
        <w:pStyle w:val="null3"/>
        <w:ind w:firstLine="480"/>
        <w:jc w:val="left"/>
      </w:pPr>
      <w:r>
        <w:rPr>
          <w:rFonts w:ascii="宋体" w:hAnsi="宋体" w:cs="宋体" w:eastAsia="宋体"/>
          <w:sz w:val="24"/>
        </w:rPr>
        <w:t>中标人须保障采购人在使用货物或获得服务时不受到第三方关于任何侵犯专利权、商标权或工业设计权等知识产权的指控，任何第三方如果提出此方面指控均与采购人无关，中标人应与第三方交涉，并承担可能发生的一切法律责任、费用和后果；若采购人因此而遭致损失的，中标人应赔偿该损失。</w:t>
      </w:r>
    </w:p>
    <w:p>
      <w:pPr>
        <w:pStyle w:val="null3"/>
        <w:jc w:val="left"/>
      </w:pPr>
      <w:r>
        <w:rPr>
          <w:rFonts w:ascii="宋体" w:hAnsi="宋体" w:cs="宋体" w:eastAsia="宋体"/>
          <w:b/>
          <w:sz w:val="24"/>
        </w:rPr>
        <w:t>11.违约责任</w:t>
      </w:r>
    </w:p>
    <w:p>
      <w:pPr>
        <w:pStyle w:val="null3"/>
        <w:ind w:firstLine="480"/>
        <w:jc w:val="left"/>
      </w:pPr>
      <w:r>
        <w:rPr>
          <w:rFonts w:ascii="宋体" w:hAnsi="宋体" w:cs="宋体" w:eastAsia="宋体"/>
          <w:sz w:val="24"/>
          <w:shd w:fill="FFFFFF" w:val="clear"/>
        </w:rPr>
        <w:t>11.1因中标人原因造成采购合同无法按时签订的，视为中标人违约，对采购人造成的损失的，中标人还需另行支付相应的赔偿。</w:t>
      </w:r>
    </w:p>
    <w:p>
      <w:pPr>
        <w:pStyle w:val="null3"/>
        <w:ind w:firstLine="480"/>
        <w:jc w:val="left"/>
      </w:pPr>
      <w:r>
        <w:rPr>
          <w:rFonts w:ascii="宋体" w:hAnsi="宋体" w:cs="宋体" w:eastAsia="宋体"/>
          <w:sz w:val="24"/>
          <w:shd w:fill="FFFFFF" w:val="clear"/>
        </w:rPr>
        <w:t>11.2在签定采购合同之后，有下列情形之一的，将视为中标人违约，采购人有权从履约保证金中取得补偿（如有提交履约保证金的），并可进一步提出追索和索赔：</w:t>
      </w:r>
    </w:p>
    <w:p>
      <w:pPr>
        <w:pStyle w:val="null3"/>
        <w:ind w:firstLine="480"/>
        <w:jc w:val="left"/>
      </w:pPr>
      <w:r>
        <w:rPr>
          <w:rFonts w:ascii="宋体" w:hAnsi="宋体" w:cs="宋体" w:eastAsia="宋体"/>
          <w:sz w:val="24"/>
          <w:shd w:fill="FFFFFF" w:val="clear"/>
        </w:rPr>
        <w:t>11.2.1签定合同后，中标人未按合同规定提供服务的；</w:t>
      </w:r>
    </w:p>
    <w:p>
      <w:pPr>
        <w:pStyle w:val="null3"/>
        <w:ind w:firstLine="480"/>
        <w:jc w:val="left"/>
      </w:pPr>
      <w:r>
        <w:rPr>
          <w:rFonts w:ascii="宋体" w:hAnsi="宋体" w:cs="宋体" w:eastAsia="宋体"/>
          <w:b/>
          <w:sz w:val="24"/>
          <w:shd w:fill="FFFFFF" w:val="clear"/>
        </w:rPr>
        <w:t>11.2.2因中标人原因造成工期延误,在2024年02月04日（农历腊月廿五）前未能全部安装完毕的,逾期一天由</w:t>
      </w:r>
      <w:r>
        <w:rPr>
          <w:rFonts w:ascii="calibri" w:hAnsi="calibri" w:cs="calibri" w:eastAsia="calibri"/>
          <w:b/>
          <w:sz w:val="24"/>
          <w:shd w:fill="FFFFFF" w:val="clear"/>
        </w:rPr>
        <w:t xml:space="preserve"> </w:t>
      </w:r>
      <w:r>
        <w:rPr>
          <w:rFonts w:ascii="宋体" w:hAnsi="宋体" w:cs="宋体" w:eastAsia="宋体"/>
          <w:b/>
          <w:sz w:val="24"/>
          <w:shd w:fill="FFFFFF" w:val="clear"/>
        </w:rPr>
        <w:t>中标人</w:t>
      </w:r>
      <w:r>
        <w:rPr>
          <w:rFonts w:ascii="calibri" w:hAnsi="calibri" w:cs="calibri" w:eastAsia="calibri"/>
          <w:b/>
          <w:sz w:val="24"/>
          <w:shd w:fill="FFFFFF" w:val="clear"/>
        </w:rPr>
        <w:t xml:space="preserve"> </w:t>
      </w:r>
      <w:r>
        <w:rPr>
          <w:rFonts w:ascii="宋体" w:hAnsi="宋体" w:cs="宋体" w:eastAsia="宋体"/>
          <w:b/>
          <w:sz w:val="24"/>
          <w:shd w:fill="FFFFFF" w:val="clear"/>
        </w:rPr>
        <w:t>赔偿</w:t>
      </w:r>
      <w:r>
        <w:rPr>
          <w:rFonts w:ascii="calibri" w:hAnsi="calibri" w:cs="calibri" w:eastAsia="calibri"/>
          <w:b/>
          <w:sz w:val="24"/>
          <w:shd w:fill="FFFFFF" w:val="clear"/>
        </w:rPr>
        <w:t xml:space="preserve"> </w:t>
      </w:r>
      <w:r>
        <w:rPr>
          <w:rFonts w:ascii="宋体" w:hAnsi="宋体" w:cs="宋体" w:eastAsia="宋体"/>
          <w:b/>
          <w:sz w:val="24"/>
          <w:shd w:fill="FFFFFF" w:val="clear"/>
        </w:rPr>
        <w:t>采购人</w:t>
      </w:r>
      <w:r>
        <w:rPr>
          <w:rFonts w:ascii="calibri" w:hAnsi="calibri" w:cs="calibri" w:eastAsia="calibri"/>
          <w:b/>
          <w:sz w:val="24"/>
          <w:shd w:fill="FFFFFF" w:val="clear"/>
        </w:rPr>
        <w:t xml:space="preserve"> </w:t>
      </w:r>
      <w:r>
        <w:rPr>
          <w:rFonts w:ascii="宋体" w:hAnsi="宋体" w:cs="宋体" w:eastAsia="宋体"/>
          <w:b/>
          <w:sz w:val="24"/>
          <w:shd w:fill="FFFFFF" w:val="clear"/>
        </w:rPr>
        <w:t>人民币</w:t>
      </w:r>
      <w:r>
        <w:rPr>
          <w:rFonts w:ascii="宋体" w:hAnsi="宋体" w:cs="宋体" w:eastAsia="宋体"/>
          <w:b/>
          <w:sz w:val="24"/>
          <w:shd w:fill="FFFFFF" w:val="clear"/>
        </w:rPr>
        <w:t>5万元,逾期两天由中标人赔偿甲方人民币15万元,逾期三天由</w:t>
      </w:r>
      <w:r>
        <w:rPr>
          <w:rFonts w:ascii="calibri" w:hAnsi="calibri" w:cs="calibri" w:eastAsia="calibri"/>
          <w:b/>
          <w:sz w:val="24"/>
          <w:shd w:fill="FFFFFF" w:val="clear"/>
        </w:rPr>
        <w:t xml:space="preserve"> </w:t>
      </w:r>
      <w:r>
        <w:rPr>
          <w:rFonts w:ascii="宋体" w:hAnsi="宋体" w:cs="宋体" w:eastAsia="宋体"/>
          <w:b/>
          <w:sz w:val="24"/>
          <w:shd w:fill="FFFFFF" w:val="clear"/>
        </w:rPr>
        <w:t>中标人</w:t>
      </w:r>
      <w:r>
        <w:rPr>
          <w:rFonts w:ascii="calibri" w:hAnsi="calibri" w:cs="calibri" w:eastAsia="calibri"/>
          <w:b/>
          <w:sz w:val="24"/>
          <w:shd w:fill="FFFFFF" w:val="clear"/>
        </w:rPr>
        <w:t xml:space="preserve"> </w:t>
      </w:r>
      <w:r>
        <w:rPr>
          <w:rFonts w:ascii="宋体" w:hAnsi="宋体" w:cs="宋体" w:eastAsia="宋体"/>
          <w:b/>
          <w:sz w:val="24"/>
          <w:shd w:fill="FFFFFF" w:val="clear"/>
        </w:rPr>
        <w:t>赔偿甲方人民币</w:t>
      </w:r>
      <w:r>
        <w:rPr>
          <w:rFonts w:ascii="宋体" w:hAnsi="宋体" w:cs="宋体" w:eastAsia="宋体"/>
          <w:b/>
          <w:sz w:val="24"/>
          <w:shd w:fill="FFFFFF" w:val="clear"/>
        </w:rPr>
        <w:t>30万元，逾期</w:t>
      </w:r>
      <w:r>
        <w:rPr>
          <w:rFonts w:ascii="calibri" w:hAnsi="calibri" w:cs="calibri" w:eastAsia="calibri"/>
          <w:b/>
          <w:sz w:val="24"/>
          <w:shd w:fill="FFFFFF" w:val="clear"/>
        </w:rPr>
        <w:t xml:space="preserve"> </w:t>
      </w:r>
      <w:r>
        <w:rPr>
          <w:rFonts w:ascii="宋体" w:hAnsi="宋体" w:cs="宋体" w:eastAsia="宋体"/>
          <w:b/>
          <w:sz w:val="24"/>
          <w:shd w:fill="FFFFFF" w:val="clear"/>
        </w:rPr>
        <w:t>四天</w:t>
      </w:r>
      <w:r>
        <w:rPr>
          <w:rFonts w:ascii="calibri" w:hAnsi="calibri" w:cs="calibri" w:eastAsia="calibri"/>
          <w:b/>
          <w:sz w:val="24"/>
          <w:shd w:fill="FFFFFF" w:val="clear"/>
        </w:rPr>
        <w:t xml:space="preserve"> </w:t>
      </w:r>
      <w:r>
        <w:rPr>
          <w:rFonts w:ascii="宋体" w:hAnsi="宋体" w:cs="宋体" w:eastAsia="宋体"/>
          <w:b/>
          <w:sz w:val="24"/>
          <w:shd w:fill="FFFFFF" w:val="clear"/>
        </w:rPr>
        <w:t>由</w:t>
      </w:r>
      <w:r>
        <w:rPr>
          <w:rFonts w:ascii="calibri" w:hAnsi="calibri" w:cs="calibri" w:eastAsia="calibri"/>
          <w:b/>
          <w:sz w:val="24"/>
          <w:shd w:fill="FFFFFF" w:val="clear"/>
        </w:rPr>
        <w:t xml:space="preserve"> </w:t>
      </w:r>
      <w:r>
        <w:rPr>
          <w:rFonts w:ascii="宋体" w:hAnsi="宋体" w:cs="宋体" w:eastAsia="宋体"/>
          <w:b/>
          <w:sz w:val="24"/>
          <w:shd w:fill="FFFFFF" w:val="clear"/>
        </w:rPr>
        <w:t>中标人</w:t>
      </w:r>
      <w:r>
        <w:rPr>
          <w:rFonts w:ascii="calibri" w:hAnsi="calibri" w:cs="calibri" w:eastAsia="calibri"/>
          <w:b/>
          <w:sz w:val="24"/>
          <w:shd w:fill="FFFFFF" w:val="clear"/>
        </w:rPr>
        <w:t xml:space="preserve"> </w:t>
      </w:r>
      <w:r>
        <w:rPr>
          <w:rFonts w:ascii="宋体" w:hAnsi="宋体" w:cs="宋体" w:eastAsia="宋体"/>
          <w:b/>
          <w:sz w:val="24"/>
          <w:shd w:fill="FFFFFF" w:val="clear"/>
        </w:rPr>
        <w:t>赔偿甲方人民币</w:t>
      </w:r>
      <w:r>
        <w:rPr>
          <w:rFonts w:ascii="宋体" w:hAnsi="宋体" w:cs="宋体" w:eastAsia="宋体"/>
          <w:b/>
          <w:sz w:val="24"/>
          <w:shd w:fill="FFFFFF" w:val="clear"/>
        </w:rPr>
        <w:t>50万元，逾期五天及以上的，安装的造型品及灯组工程量不予结算,甲方不支付任何费用；</w:t>
      </w:r>
    </w:p>
    <w:p>
      <w:pPr>
        <w:pStyle w:val="null3"/>
        <w:ind w:firstLine="480"/>
        <w:jc w:val="left"/>
      </w:pPr>
      <w:r>
        <w:rPr>
          <w:rFonts w:ascii="宋体" w:hAnsi="宋体" w:cs="宋体" w:eastAsia="宋体"/>
          <w:b/>
          <w:sz w:val="24"/>
          <w:shd w:fill="FFFFFF" w:val="clear"/>
        </w:rPr>
        <w:t>11.2.3中标人不得将项目进行转包，否则视为中标人合同违约,采购人有权解除合同关系。因此造成采购人的一切损失由中标人负责并由中标人赔偿采购人人民币20万元作为违约金；</w:t>
      </w:r>
    </w:p>
    <w:p>
      <w:pPr>
        <w:pStyle w:val="null3"/>
        <w:ind w:firstLine="480"/>
        <w:jc w:val="left"/>
      </w:pPr>
      <w:r>
        <w:rPr>
          <w:rFonts w:ascii="宋体" w:hAnsi="宋体" w:cs="宋体" w:eastAsia="宋体"/>
          <w:sz w:val="24"/>
          <w:shd w:fill="FFFFFF" w:val="clear"/>
        </w:rPr>
        <w:t>11.2.4在签定采购合同之后，中标人要求解除合同的；</w:t>
      </w:r>
    </w:p>
    <w:p>
      <w:pPr>
        <w:pStyle w:val="null3"/>
        <w:ind w:firstLine="480"/>
        <w:jc w:val="left"/>
      </w:pPr>
      <w:r>
        <w:rPr>
          <w:rFonts w:ascii="宋体" w:hAnsi="宋体" w:cs="宋体" w:eastAsia="宋体"/>
          <w:b/>
          <w:sz w:val="24"/>
          <w:shd w:fill="FFFFFF" w:val="clear"/>
        </w:rPr>
        <w:t>11.2.5在签订合同前，若中标人未按承诺要求提供人员证明材料的，每缺少一份人员证书的，中标人赔偿采购人人民币5万元。</w:t>
      </w:r>
    </w:p>
    <w:p>
      <w:pPr>
        <w:pStyle w:val="null3"/>
        <w:ind w:firstLine="480"/>
        <w:jc w:val="left"/>
      </w:pPr>
      <w:r>
        <w:rPr>
          <w:rFonts w:ascii="宋体" w:hAnsi="宋体" w:cs="宋体" w:eastAsia="宋体"/>
          <w:sz w:val="24"/>
          <w:shd w:fill="FFFFFF" w:val="clear"/>
        </w:rPr>
        <w:t>11.3本合同所有服务，都必须由中标人自己或在投标文件中明确的单位承担，不得以任何名义和理由进行分包或转包。如有发现，视为中标人违约，采购人有权单方终止合同，对采购人造成损失的，需另行支付相应的赔偿。</w:t>
      </w:r>
    </w:p>
    <w:p>
      <w:pPr>
        <w:pStyle w:val="null3"/>
        <w:ind w:firstLine="480"/>
        <w:jc w:val="left"/>
      </w:pPr>
      <w:r>
        <w:rPr>
          <w:rFonts w:ascii="宋体" w:hAnsi="宋体" w:cs="宋体" w:eastAsia="宋体"/>
          <w:sz w:val="24"/>
          <w:shd w:fill="FFFFFF" w:val="clear"/>
        </w:rPr>
        <w:t>11.4中标人履行义务不符合合同约定时，采购人有权扣减尾款。</w:t>
      </w:r>
    </w:p>
    <w:p>
      <w:pPr>
        <w:pStyle w:val="null3"/>
        <w:ind w:firstLine="480"/>
        <w:jc w:val="left"/>
      </w:pPr>
      <w:r>
        <w:rPr>
          <w:rFonts w:ascii="宋体" w:hAnsi="宋体" w:cs="宋体" w:eastAsia="宋体"/>
          <w:sz w:val="24"/>
          <w:shd w:fill="FFFFFF" w:val="clear"/>
        </w:rPr>
        <w:t>11.5因中标人原因发生重大质量事故，除依约承担赔偿责任外，还将按有关质量管理办法规定执行。同时，采购人有权保留更换中标人的权利，并报相关行政主管部门处罚。</w:t>
      </w:r>
    </w:p>
    <w:p>
      <w:pPr>
        <w:pStyle w:val="null3"/>
        <w:ind w:firstLine="480"/>
        <w:jc w:val="left"/>
      </w:pPr>
      <w:r>
        <w:rPr>
          <w:rFonts w:ascii="宋体" w:hAnsi="宋体" w:cs="宋体" w:eastAsia="宋体"/>
          <w:sz w:val="24"/>
          <w:shd w:fill="FFFFFF" w:val="clear"/>
        </w:rPr>
        <w:t>11.6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left"/>
      </w:pPr>
      <w:r>
        <w:rPr>
          <w:rFonts w:ascii="宋体" w:hAnsi="宋体" w:cs="宋体" w:eastAsia="宋体"/>
          <w:sz w:val="24"/>
          <w:shd w:fill="FFFFFF" w:val="clear"/>
        </w:rPr>
        <w:t>11.7如果中标人违约,赔偿采购人的金额超过本合同应支付款项,中标人需向采购人付清赔偿金。</w:t>
      </w:r>
    </w:p>
    <w:p>
      <w:pPr>
        <w:pStyle w:val="null3"/>
        <w:ind w:firstLine="480"/>
        <w:jc w:val="left"/>
      </w:pPr>
      <w:r>
        <w:rPr>
          <w:rFonts w:ascii="宋体" w:hAnsi="宋体" w:cs="宋体" w:eastAsia="宋体"/>
          <w:sz w:val="24"/>
          <w:shd w:fill="FFFFFF" w:val="clear"/>
        </w:rPr>
        <w:t>11.8在明确违约责任后，中标人应在接到书面通知书起七天内支付违约金、赔偿金等。</w:t>
      </w:r>
    </w:p>
    <w:p>
      <w:pPr>
        <w:pStyle w:val="null3"/>
        <w:ind w:firstLine="480"/>
        <w:jc w:val="left"/>
      </w:pPr>
      <w:r>
        <w:rPr>
          <w:rFonts w:ascii="宋体" w:hAnsi="宋体" w:cs="宋体" w:eastAsia="宋体"/>
          <w:sz w:val="24"/>
        </w:rPr>
        <w:t>11.9本招标文件未明确的其它约定事项或条款，待采购人与中标人签 订合同时，由双方协商订立。</w:t>
      </w:r>
    </w:p>
    <w:p>
      <w:pPr>
        <w:pStyle w:val="null3"/>
        <w:jc w:val="left"/>
      </w:pPr>
      <w:r>
        <w:rPr>
          <w:rFonts w:ascii="宋体" w:hAnsi="宋体" w:cs="宋体" w:eastAsia="宋体"/>
          <w:b/>
          <w:sz w:val="24"/>
        </w:rPr>
        <w:t>12.质量保证</w:t>
      </w:r>
    </w:p>
    <w:p>
      <w:pPr>
        <w:pStyle w:val="null3"/>
        <w:ind w:firstLine="480"/>
        <w:jc w:val="left"/>
      </w:pPr>
      <w:r>
        <w:rPr>
          <w:rFonts w:ascii="宋体" w:hAnsi="宋体" w:cs="宋体" w:eastAsia="宋体"/>
          <w:sz w:val="24"/>
        </w:rPr>
        <w:t>12.1投标人保证所提供的货物是全新、未使用过的原装合格正品，不截留、调换任何配件、部件或其他任何随机配备的附属资料，并完全符合合同规定的质量、技术规格和性能的要求。</w:t>
      </w:r>
    </w:p>
    <w:p>
      <w:pPr>
        <w:pStyle w:val="null3"/>
        <w:ind w:firstLine="480"/>
        <w:jc w:val="left"/>
      </w:pPr>
      <w:r>
        <w:rPr>
          <w:rFonts w:ascii="宋体" w:hAnsi="宋体" w:cs="宋体" w:eastAsia="宋体"/>
          <w:sz w:val="24"/>
        </w:rPr>
        <w:t>12.2投标人保证其提供的货物在正确安装、正常使用和保养条件下，在其使用寿命内具有良好的性能。</w:t>
      </w:r>
    </w:p>
    <w:p>
      <w:pPr>
        <w:pStyle w:val="null3"/>
        <w:ind w:firstLine="480"/>
        <w:jc w:val="left"/>
      </w:pPr>
      <w:r>
        <w:rPr>
          <w:rFonts w:ascii="宋体" w:hAnsi="宋体" w:cs="宋体" w:eastAsia="宋体"/>
          <w:sz w:val="24"/>
        </w:rPr>
        <w:t>12.3投标人保证货物来自合法途径，保证货物是制造厂家的原装合格正品。投标人必须保证提供的所有产品具有在中国境内的合法使用权和用户保护权且为全新原装品 牌产品，若投标人所投产品国家有强制性要求认证的，则投标人应提供通过认证的产品进行投标。</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2.1★本项目最终控制价为2470478元，最高限价为2356954元。（含暂列金20万元，暂列金不允许下浮），投标人的报价不得高于最高限价，否则按无效投标处理。 本项目采用固定单价合同，合同所确定的固定单价为完成合同清单项目所需的全部费用，包括但不限于产品、制作安装费、维护费、拆除清理费、运输吊装费、人工费、机械费、脚手架搭拆费、利润及税费、运输、装卸、安装、辅材、售后服务及合同包含的所有风险责任等。工程量按实际结算。 2.2投标人投标文件报价部分中的详细分项报价书应根据《控制价》及《清单》中各表格进行填报，未按要求进行填报的，响应无效。 2.3投标人对本项目只能有一个报价，采购人不接受有选择的报价。 2.4本项目不组织统一现场踏勘，各潜在投标人可自行前往现场及周边环境进行踏勘，以便获取有关编制投标文件所涉及的一切信息，对于现场设备搬运、安装位置等原因造成费用增加时，各投标人应综合考虑在投标报价内。采购人对投标人实地踏勘后做出的任何推论、理解和结论均不负责任，踏勘现场所发生的费用及发生的意外风险均由投标人自行承担 2.5合同范本以采购人和中标人双方协商的为准。</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单价（现场）</w:t>
            </w:r>
          </w:p>
        </w:tc>
        <w:tc>
          <w:tcPr>
            <w:tcW w:type="dxa" w:w="923"/>
          </w:tcPr>
          <w:p>
            <w:pPr>
              <w:pStyle w:val="null3"/>
              <w:jc w:val="left"/>
            </w:pPr>
            <w:r>
              <w:rPr/>
              <w:t>数量</w:t>
            </w:r>
          </w:p>
        </w:tc>
        <w:tc>
          <w:tcPr>
            <w:tcW w:type="dxa" w:w="923"/>
          </w:tcPr>
          <w:p>
            <w:pPr>
              <w:pStyle w:val="null3"/>
              <w:jc w:val="left"/>
            </w:pPr>
            <w:r>
              <w:rPr/>
              <w:t>总价（现场）</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1.4同一采购包中，“单价（现场）”×“数量”=“总价（现场）”，全部品目号“总价（现场）”的合计金额应与《开标一览表》中相应采购包列示的“投标总价”保持一致。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备注</w:t>
            </w:r>
          </w:p>
        </w:tc>
        <w:tc>
          <w:tcPr>
            <w:tcW w:type="dxa" w:w="7122"/>
            <w:gridSpan w:val="6"/>
          </w:tcPr>
          <w:p>
            <w:pPr>
              <w:pStyle w:val="null3"/>
              <w:jc w:val="left"/>
            </w:pPr>
            <w:r>
              <w:rPr/>
              <w:t>a.采购包内属于节能、环境标志产品的报价总金额：</w:t>
            </w:r>
            <w:r>
              <w:rPr>
                <w:u w:val="single"/>
              </w:rPr>
              <w:t>　　　　　</w:t>
            </w:r>
            <w:r>
              <w:rPr/>
              <w:t>；</w:t>
            </w:r>
          </w:p>
          <w:p>
            <w:pPr>
              <w:pStyle w:val="null3"/>
              <w:jc w:val="left"/>
            </w:pPr>
            <w:r>
              <w:rPr/>
              <w:t>b.采购包投标总价（报价总金额）：</w:t>
            </w:r>
            <w:r>
              <w:rPr>
                <w:u w:val="single"/>
              </w:rPr>
              <w:t>　　　　　</w:t>
            </w:r>
            <w:r>
              <w:rPr/>
              <w:t>；</w:t>
            </w:r>
          </w:p>
          <w:p>
            <w:pPr>
              <w:pStyle w:val="null3"/>
              <w:jc w:val="left"/>
            </w:pPr>
            <w:r>
              <w:rPr/>
              <w:t>c.“采购包内属于节能、环境标志产品的报价总金额”占“采购包投标总价（报价总金额）”的比例（以%列示）：</w:t>
            </w:r>
            <w:r>
              <w:rPr>
                <w:u w:val="single"/>
              </w:rPr>
              <w:t>　　　　　</w:t>
            </w:r>
            <w:r>
              <w:rPr/>
              <w:t>；</w:t>
            </w:r>
          </w:p>
          <w:p>
            <w:pPr>
              <w:pStyle w:val="null3"/>
              <w:jc w:val="left"/>
            </w:pPr>
          </w:p>
        </w:tc>
      </w:tr>
    </w:tbl>
    <w:p>
      <w:pPr>
        <w:pStyle w:val="null3"/>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1、对节能、环境标志产品计算价格扣除时，只依据电子投标文件“四-1-②优先类节能产品、环境标志产品加分证明材料（加分适用，若有）”。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jc w:val="left"/>
      </w:pPr>
      <w:r>
        <w:rPr/>
        <w:t xml:space="preserve"> 若投标人可享受招标文件规定的除“优先类节能产品、环境标志产品加分”外的其他加分优惠，则投标人应按照招标文件要求提供相应证明材料。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